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5F6DAB" w14:textId="2F939374" w:rsidR="00FE47A4" w:rsidRPr="000260BA" w:rsidRDefault="00FE47A4" w:rsidP="00FE47A4">
      <w:pPr>
        <w:spacing w:line="256" w:lineRule="auto"/>
        <w:jc w:val="right"/>
        <w:rPr>
          <w:rFonts w:asciiTheme="majorHAnsi" w:eastAsia="Calibri" w:hAnsiTheme="majorHAnsi" w:cstheme="majorHAnsi"/>
        </w:rPr>
      </w:pPr>
    </w:p>
    <w:p w14:paraId="2DFF2492" w14:textId="77777777" w:rsidR="00FE47A4" w:rsidRPr="000260BA" w:rsidRDefault="00FE47A4" w:rsidP="00FE47A4">
      <w:pPr>
        <w:spacing w:line="256" w:lineRule="auto"/>
        <w:rPr>
          <w:rFonts w:asciiTheme="majorHAnsi" w:eastAsia="Calibri" w:hAnsiTheme="majorHAnsi" w:cstheme="majorHAnsi"/>
        </w:rPr>
      </w:pPr>
    </w:p>
    <w:p w14:paraId="302ABACC" w14:textId="77777777" w:rsidR="00FE47A4" w:rsidRPr="000260BA" w:rsidRDefault="00FE47A4" w:rsidP="00FE47A4">
      <w:pPr>
        <w:spacing w:line="256" w:lineRule="auto"/>
        <w:rPr>
          <w:rFonts w:asciiTheme="majorHAnsi" w:eastAsia="Calibri" w:hAnsiTheme="majorHAnsi" w:cstheme="majorHAnsi"/>
        </w:rPr>
      </w:pPr>
    </w:p>
    <w:p w14:paraId="724D0211" w14:textId="77777777" w:rsidR="00FE47A4" w:rsidRPr="000260BA" w:rsidRDefault="00FE47A4" w:rsidP="00FE47A4">
      <w:pPr>
        <w:spacing w:line="256" w:lineRule="auto"/>
        <w:rPr>
          <w:rFonts w:asciiTheme="majorHAnsi" w:eastAsia="Calibri" w:hAnsiTheme="majorHAnsi" w:cstheme="majorHAnsi"/>
        </w:rPr>
      </w:pPr>
    </w:p>
    <w:p w14:paraId="0F553DD7" w14:textId="77777777" w:rsidR="00FE47A4" w:rsidRPr="000260BA" w:rsidRDefault="00FE47A4" w:rsidP="00FE47A4">
      <w:pPr>
        <w:spacing w:line="256" w:lineRule="auto"/>
        <w:jc w:val="center"/>
        <w:rPr>
          <w:rFonts w:asciiTheme="majorHAnsi" w:eastAsia="Calibri" w:hAnsiTheme="majorHAnsi" w:cstheme="majorHAnsi"/>
        </w:rPr>
      </w:pPr>
    </w:p>
    <w:p w14:paraId="543217BA" w14:textId="77777777" w:rsidR="00FE47A4" w:rsidRPr="000260BA" w:rsidRDefault="00FE47A4" w:rsidP="00FE47A4">
      <w:pPr>
        <w:spacing w:line="256" w:lineRule="auto"/>
        <w:jc w:val="center"/>
        <w:rPr>
          <w:rFonts w:asciiTheme="majorHAnsi" w:eastAsia="Calibri" w:hAnsiTheme="majorHAnsi" w:cstheme="majorHAnsi"/>
        </w:rPr>
      </w:pPr>
    </w:p>
    <w:p w14:paraId="20C5245F" w14:textId="77777777" w:rsidR="00FE47A4" w:rsidRPr="000260BA" w:rsidRDefault="00FE47A4" w:rsidP="00FE47A4">
      <w:pPr>
        <w:spacing w:line="256" w:lineRule="auto"/>
        <w:jc w:val="center"/>
        <w:rPr>
          <w:rFonts w:asciiTheme="majorHAnsi" w:eastAsia="Calibri" w:hAnsiTheme="majorHAnsi" w:cstheme="majorHAnsi"/>
        </w:rPr>
      </w:pPr>
    </w:p>
    <w:p w14:paraId="46111645" w14:textId="77777777" w:rsidR="00FE47A4" w:rsidRPr="000260BA" w:rsidRDefault="00FE47A4" w:rsidP="00FE47A4">
      <w:pPr>
        <w:spacing w:line="256" w:lineRule="auto"/>
        <w:jc w:val="center"/>
        <w:rPr>
          <w:rFonts w:asciiTheme="majorHAnsi" w:eastAsia="Calibri" w:hAnsiTheme="majorHAnsi" w:cstheme="majorHAnsi"/>
        </w:rPr>
      </w:pPr>
    </w:p>
    <w:p w14:paraId="18903307" w14:textId="77777777" w:rsidR="00FE47A4" w:rsidRPr="001119A1" w:rsidRDefault="00FE47A4" w:rsidP="00FE47A4">
      <w:pPr>
        <w:spacing w:line="256" w:lineRule="auto"/>
        <w:jc w:val="center"/>
        <w:rPr>
          <w:rFonts w:asciiTheme="majorHAnsi" w:eastAsia="Calibri" w:hAnsiTheme="majorHAnsi" w:cstheme="majorHAnsi"/>
          <w:b/>
        </w:rPr>
      </w:pPr>
      <w:r w:rsidRPr="001119A1">
        <w:rPr>
          <w:rFonts w:asciiTheme="majorHAnsi" w:eastAsia="Calibri" w:hAnsiTheme="majorHAnsi" w:cstheme="majorHAnsi"/>
          <w:b/>
          <w:sz w:val="36"/>
        </w:rPr>
        <w:t>SUBMISSION</w:t>
      </w:r>
    </w:p>
    <w:p w14:paraId="6F0264D6" w14:textId="77777777" w:rsidR="00FE47A4" w:rsidRPr="000260BA" w:rsidRDefault="00FE47A4" w:rsidP="00FE47A4">
      <w:pPr>
        <w:spacing w:line="256" w:lineRule="auto"/>
        <w:jc w:val="center"/>
        <w:rPr>
          <w:rFonts w:asciiTheme="majorHAnsi" w:eastAsia="Calibri" w:hAnsiTheme="majorHAnsi" w:cstheme="majorHAnsi"/>
        </w:rPr>
      </w:pPr>
    </w:p>
    <w:p w14:paraId="49E36904" w14:textId="4D980FBA" w:rsidR="00FE47A4" w:rsidRPr="000260BA" w:rsidRDefault="00FE47A4" w:rsidP="00FE47A4">
      <w:pPr>
        <w:spacing w:line="256" w:lineRule="auto"/>
        <w:jc w:val="center"/>
        <w:rPr>
          <w:rFonts w:asciiTheme="majorHAnsi" w:eastAsia="Times New Roman" w:hAnsiTheme="majorHAnsi" w:cstheme="majorHAnsi"/>
          <w:b/>
          <w:color w:val="222222"/>
          <w:lang w:eastAsia="en-AU"/>
        </w:rPr>
      </w:pPr>
      <w:r w:rsidRPr="000260BA">
        <w:rPr>
          <w:rFonts w:asciiTheme="majorHAnsi" w:eastAsia="Calibri" w:hAnsiTheme="majorHAnsi" w:cstheme="majorHAnsi"/>
        </w:rPr>
        <w:t>Prepared by Springvale Monash Legal Service</w:t>
      </w:r>
      <w:r w:rsidR="00B97116" w:rsidRPr="000260BA">
        <w:rPr>
          <w:rFonts w:asciiTheme="majorHAnsi" w:eastAsia="Calibri" w:hAnsiTheme="majorHAnsi" w:cstheme="majorHAnsi"/>
        </w:rPr>
        <w:t xml:space="preserve"> on behalf of the ‘Gr</w:t>
      </w:r>
      <w:r w:rsidR="008E0BE6">
        <w:rPr>
          <w:rFonts w:asciiTheme="majorHAnsi" w:eastAsia="Calibri" w:hAnsiTheme="majorHAnsi" w:cstheme="majorHAnsi"/>
        </w:rPr>
        <w:t>e</w:t>
      </w:r>
      <w:r w:rsidR="00B97116" w:rsidRPr="000260BA">
        <w:rPr>
          <w:rFonts w:asciiTheme="majorHAnsi" w:eastAsia="Calibri" w:hAnsiTheme="majorHAnsi" w:cstheme="majorHAnsi"/>
        </w:rPr>
        <w:t>ater Dandenong Taskforce for Gambling Reform’</w:t>
      </w:r>
      <w:r w:rsidRPr="000260BA">
        <w:rPr>
          <w:rFonts w:asciiTheme="majorHAnsi" w:eastAsia="Calibri" w:hAnsiTheme="majorHAnsi" w:cstheme="majorHAnsi"/>
        </w:rPr>
        <w:t xml:space="preserve"> for the</w:t>
      </w:r>
    </w:p>
    <w:p w14:paraId="3440A149" w14:textId="77777777" w:rsidR="00FE47A4" w:rsidRPr="000260BA" w:rsidRDefault="00FE47A4" w:rsidP="00FE47A4">
      <w:pPr>
        <w:spacing w:line="254" w:lineRule="auto"/>
        <w:jc w:val="center"/>
        <w:rPr>
          <w:rFonts w:asciiTheme="majorHAnsi" w:eastAsia="Times New Roman" w:hAnsiTheme="majorHAnsi" w:cstheme="majorHAnsi"/>
          <w:b/>
          <w:color w:val="222222"/>
          <w:lang w:eastAsia="en-AU"/>
        </w:rPr>
      </w:pPr>
    </w:p>
    <w:p w14:paraId="2E783766" w14:textId="00877E23" w:rsidR="00FE47A4" w:rsidRPr="000260BA" w:rsidRDefault="00F04160" w:rsidP="00FE47A4">
      <w:pPr>
        <w:spacing w:line="254" w:lineRule="auto"/>
        <w:jc w:val="center"/>
        <w:rPr>
          <w:rFonts w:asciiTheme="majorHAnsi" w:eastAsia="Times New Roman" w:hAnsiTheme="majorHAnsi" w:cstheme="majorHAnsi"/>
          <w:b/>
          <w:color w:val="222222"/>
          <w:lang w:eastAsia="en-AU"/>
        </w:rPr>
      </w:pPr>
      <w:r w:rsidRPr="000260BA">
        <w:rPr>
          <w:rFonts w:asciiTheme="majorHAnsi" w:eastAsia="Times New Roman" w:hAnsiTheme="majorHAnsi" w:cstheme="majorHAnsi"/>
          <w:b/>
          <w:color w:val="222222"/>
          <w:lang w:eastAsia="en-AU"/>
        </w:rPr>
        <w:t xml:space="preserve">Victorian Commission of Gambling and Liquor Regulation </w:t>
      </w:r>
    </w:p>
    <w:p w14:paraId="54F221A4" w14:textId="7019F08C" w:rsidR="00FE47A4" w:rsidRPr="000260BA" w:rsidRDefault="00F04160" w:rsidP="00FE47A4">
      <w:pPr>
        <w:spacing w:line="254" w:lineRule="auto"/>
        <w:jc w:val="center"/>
        <w:rPr>
          <w:rFonts w:asciiTheme="majorHAnsi" w:eastAsia="Times New Roman" w:hAnsiTheme="majorHAnsi" w:cstheme="majorHAnsi"/>
          <w:b/>
          <w:color w:val="222222"/>
          <w:lang w:eastAsia="en-AU"/>
        </w:rPr>
      </w:pPr>
      <w:r w:rsidRPr="000260BA">
        <w:rPr>
          <w:rFonts w:asciiTheme="majorHAnsi" w:eastAsia="Times New Roman" w:hAnsiTheme="majorHAnsi" w:cstheme="majorHAnsi"/>
          <w:b/>
          <w:color w:val="222222"/>
          <w:lang w:eastAsia="en-AU"/>
        </w:rPr>
        <w:t xml:space="preserve">In response to Dandenong Cranbourne </w:t>
      </w:r>
      <w:proofErr w:type="spellStart"/>
      <w:r w:rsidRPr="000260BA">
        <w:rPr>
          <w:rFonts w:asciiTheme="majorHAnsi" w:eastAsia="Times New Roman" w:hAnsiTheme="majorHAnsi" w:cstheme="majorHAnsi"/>
          <w:b/>
          <w:color w:val="222222"/>
          <w:lang w:eastAsia="en-AU"/>
        </w:rPr>
        <w:t>RSL</w:t>
      </w:r>
      <w:proofErr w:type="spellEnd"/>
      <w:r w:rsidRPr="000260BA">
        <w:rPr>
          <w:rFonts w:asciiTheme="majorHAnsi" w:eastAsia="Times New Roman" w:hAnsiTheme="majorHAnsi" w:cstheme="majorHAnsi"/>
          <w:b/>
          <w:color w:val="222222"/>
          <w:lang w:eastAsia="en-AU"/>
        </w:rPr>
        <w:t xml:space="preserve"> Sub Branch application for a licence to install and operate 11 electronic gaming machines at the Dandenong </w:t>
      </w:r>
      <w:proofErr w:type="spellStart"/>
      <w:r w:rsidRPr="000260BA">
        <w:rPr>
          <w:rFonts w:asciiTheme="majorHAnsi" w:eastAsia="Times New Roman" w:hAnsiTheme="majorHAnsi" w:cstheme="majorHAnsi"/>
          <w:b/>
          <w:color w:val="222222"/>
          <w:lang w:eastAsia="en-AU"/>
        </w:rPr>
        <w:t>RSL</w:t>
      </w:r>
      <w:proofErr w:type="spellEnd"/>
      <w:r w:rsidRPr="000260BA">
        <w:rPr>
          <w:rFonts w:asciiTheme="majorHAnsi" w:eastAsia="Times New Roman" w:hAnsiTheme="majorHAnsi" w:cstheme="majorHAnsi"/>
          <w:b/>
          <w:color w:val="222222"/>
          <w:lang w:eastAsia="en-AU"/>
        </w:rPr>
        <w:t xml:space="preserve">. </w:t>
      </w:r>
    </w:p>
    <w:p w14:paraId="68016565" w14:textId="77777777" w:rsidR="00FE47A4" w:rsidRPr="000260BA" w:rsidRDefault="00FE47A4" w:rsidP="00FE47A4">
      <w:pPr>
        <w:spacing w:line="254" w:lineRule="auto"/>
        <w:jc w:val="center"/>
        <w:rPr>
          <w:rFonts w:asciiTheme="majorHAnsi" w:eastAsia="Times New Roman" w:hAnsiTheme="majorHAnsi" w:cstheme="majorHAnsi"/>
          <w:color w:val="222222"/>
          <w:lang w:eastAsia="en-AU"/>
        </w:rPr>
      </w:pPr>
    </w:p>
    <w:p w14:paraId="189BC536" w14:textId="79CCA6C5" w:rsidR="00FE47A4" w:rsidRPr="000260BA" w:rsidRDefault="00FE47A4" w:rsidP="00FE47A4">
      <w:pPr>
        <w:jc w:val="center"/>
        <w:rPr>
          <w:rFonts w:asciiTheme="majorHAnsi" w:eastAsia="Times New Roman" w:hAnsiTheme="majorHAnsi" w:cstheme="majorHAnsi"/>
          <w:color w:val="222222"/>
          <w:lang w:eastAsia="en-AU"/>
        </w:rPr>
      </w:pPr>
      <w:r w:rsidRPr="000260BA">
        <w:rPr>
          <w:rFonts w:asciiTheme="majorHAnsi" w:eastAsia="Times New Roman" w:hAnsiTheme="majorHAnsi" w:cstheme="majorHAnsi"/>
          <w:color w:val="222222"/>
          <w:lang w:eastAsia="en-AU"/>
        </w:rPr>
        <w:t xml:space="preserve">Date submitted: </w:t>
      </w:r>
      <w:r w:rsidR="008F0250">
        <w:rPr>
          <w:rFonts w:asciiTheme="majorHAnsi" w:eastAsia="Times New Roman" w:hAnsiTheme="majorHAnsi" w:cstheme="majorHAnsi"/>
          <w:color w:val="222222"/>
          <w:lang w:eastAsia="en-AU"/>
        </w:rPr>
        <w:t xml:space="preserve">30 August 2018 </w:t>
      </w:r>
    </w:p>
    <w:p w14:paraId="2AE96336" w14:textId="77777777" w:rsidR="00FE47A4" w:rsidRPr="000260BA" w:rsidRDefault="00FE47A4" w:rsidP="00FE47A4">
      <w:pPr>
        <w:rPr>
          <w:rFonts w:asciiTheme="majorHAnsi" w:eastAsia="Times New Roman" w:hAnsiTheme="majorHAnsi" w:cstheme="majorHAnsi"/>
          <w:color w:val="222222"/>
          <w:lang w:eastAsia="en-AU"/>
        </w:rPr>
      </w:pPr>
    </w:p>
    <w:p w14:paraId="568FEA1B" w14:textId="77777777" w:rsidR="00FE47A4" w:rsidRPr="000260BA" w:rsidRDefault="00FE47A4">
      <w:pPr>
        <w:rPr>
          <w:rFonts w:asciiTheme="majorHAnsi" w:hAnsiTheme="majorHAnsi" w:cstheme="majorHAnsi"/>
        </w:rPr>
      </w:pPr>
      <w:r w:rsidRPr="000260BA">
        <w:rPr>
          <w:rFonts w:asciiTheme="majorHAnsi" w:hAnsiTheme="majorHAnsi" w:cstheme="majorHAnsi"/>
        </w:rPr>
        <w:br w:type="page"/>
      </w:r>
    </w:p>
    <w:p w14:paraId="4492A4F2" w14:textId="74068072" w:rsidR="00B97116" w:rsidRPr="000260BA" w:rsidRDefault="00B97116" w:rsidP="00B97116">
      <w:pPr>
        <w:rPr>
          <w:rFonts w:asciiTheme="majorHAnsi" w:hAnsiTheme="majorHAnsi" w:cstheme="majorHAnsi"/>
        </w:rPr>
      </w:pPr>
      <w:r w:rsidRPr="000260BA">
        <w:rPr>
          <w:rFonts w:asciiTheme="majorHAnsi" w:hAnsiTheme="majorHAnsi" w:cstheme="majorHAnsi"/>
        </w:rPr>
        <w:lastRenderedPageBreak/>
        <w:t xml:space="preserve">About Us: </w:t>
      </w:r>
    </w:p>
    <w:p w14:paraId="17F8FBF8" w14:textId="77777777" w:rsidR="00B97116" w:rsidRPr="000260BA" w:rsidRDefault="00B97116" w:rsidP="00B97116">
      <w:pPr>
        <w:rPr>
          <w:rFonts w:asciiTheme="majorHAnsi" w:hAnsiTheme="majorHAnsi" w:cstheme="majorHAnsi"/>
        </w:rPr>
      </w:pPr>
      <w:r w:rsidRPr="000260BA">
        <w:rPr>
          <w:rFonts w:asciiTheme="majorHAnsi" w:hAnsiTheme="majorHAnsi" w:cstheme="majorHAnsi"/>
        </w:rPr>
        <w:t>The Greater Dandenong Taskforce for Gambling Reform was established in May 2018. The group members are united by a shared concern regarding the adverse health, social and economic effects of gambling (particularly poker machine gambling) within the Greater Dandenong community; and a desire to see gambling harms addressed through effective legislative reform.</w:t>
      </w:r>
    </w:p>
    <w:p w14:paraId="2BAAB976" w14:textId="73BD8725" w:rsidR="00043C1B" w:rsidRPr="000260BA" w:rsidRDefault="00B97116" w:rsidP="00B97116">
      <w:pPr>
        <w:rPr>
          <w:rFonts w:asciiTheme="majorHAnsi" w:hAnsiTheme="majorHAnsi" w:cstheme="majorHAnsi"/>
        </w:rPr>
      </w:pPr>
      <w:r w:rsidRPr="000260BA">
        <w:rPr>
          <w:rFonts w:asciiTheme="majorHAnsi" w:hAnsiTheme="majorHAnsi" w:cstheme="majorHAnsi"/>
        </w:rPr>
        <w:t xml:space="preserve">We aim to reduce gambling related harm reduce in the City of Greater Dandenong. </w:t>
      </w:r>
    </w:p>
    <w:p w14:paraId="2D2EB409" w14:textId="2E4BF634" w:rsidR="00B97116" w:rsidRPr="000260BA" w:rsidRDefault="00B97116" w:rsidP="00B97116">
      <w:pPr>
        <w:rPr>
          <w:rFonts w:asciiTheme="majorHAnsi" w:hAnsiTheme="majorHAnsi" w:cstheme="majorHAnsi"/>
        </w:rPr>
      </w:pPr>
      <w:r w:rsidRPr="000260BA">
        <w:rPr>
          <w:rFonts w:asciiTheme="majorHAnsi" w:hAnsiTheme="majorHAnsi" w:cstheme="majorHAnsi"/>
        </w:rPr>
        <w:t xml:space="preserve">Membership: </w:t>
      </w:r>
    </w:p>
    <w:p w14:paraId="3E1B60B6" w14:textId="77777777" w:rsidR="002C7A86" w:rsidRPr="00BF70E4" w:rsidRDefault="002C7A86" w:rsidP="002C7A86">
      <w:pPr>
        <w:rPr>
          <w:rFonts w:asciiTheme="majorHAnsi" w:hAnsiTheme="majorHAnsi" w:cstheme="majorHAnsi"/>
          <w:b/>
        </w:rPr>
      </w:pPr>
      <w:r w:rsidRPr="00BF70E4">
        <w:rPr>
          <w:rFonts w:asciiTheme="majorHAnsi" w:hAnsiTheme="majorHAnsi" w:cstheme="majorHAnsi"/>
          <w:b/>
        </w:rPr>
        <w:t>Cambodian Association of Victoria</w:t>
      </w:r>
    </w:p>
    <w:p w14:paraId="3B59F34B" w14:textId="64B64743" w:rsidR="002C7A86" w:rsidRPr="00BF70E4" w:rsidRDefault="002C7A86" w:rsidP="002C7A86">
      <w:pPr>
        <w:rPr>
          <w:rFonts w:asciiTheme="majorHAnsi" w:hAnsiTheme="majorHAnsi" w:cstheme="majorHAnsi"/>
          <w:b/>
        </w:rPr>
      </w:pPr>
      <w:r w:rsidRPr="00BF70E4">
        <w:rPr>
          <w:rFonts w:asciiTheme="majorHAnsi" w:hAnsiTheme="majorHAnsi" w:cstheme="majorHAnsi"/>
          <w:b/>
        </w:rPr>
        <w:t>Connect Health and Community</w:t>
      </w:r>
      <w:r w:rsidR="00BF70E4" w:rsidRPr="00BF70E4">
        <w:rPr>
          <w:rFonts w:asciiTheme="majorHAnsi" w:hAnsiTheme="majorHAnsi" w:cstheme="majorHAnsi"/>
          <w:b/>
        </w:rPr>
        <w:t xml:space="preserve"> </w:t>
      </w:r>
    </w:p>
    <w:p w14:paraId="04D76189" w14:textId="77777777" w:rsidR="002C7A86" w:rsidRPr="00BF70E4" w:rsidRDefault="002C7A86" w:rsidP="00B97116">
      <w:pPr>
        <w:rPr>
          <w:rFonts w:asciiTheme="majorHAnsi" w:hAnsiTheme="majorHAnsi" w:cstheme="majorHAnsi"/>
          <w:b/>
        </w:rPr>
      </w:pPr>
      <w:r w:rsidRPr="00BF70E4">
        <w:rPr>
          <w:rFonts w:asciiTheme="majorHAnsi" w:hAnsiTheme="majorHAnsi" w:cstheme="majorHAnsi"/>
          <w:b/>
        </w:rPr>
        <w:t>South East Community Links</w:t>
      </w:r>
    </w:p>
    <w:p w14:paraId="55C57DB7" w14:textId="77777777" w:rsidR="002C7A86" w:rsidRPr="00BF70E4" w:rsidRDefault="002C7A86" w:rsidP="002C7A86">
      <w:pPr>
        <w:rPr>
          <w:rFonts w:asciiTheme="majorHAnsi" w:hAnsiTheme="majorHAnsi" w:cstheme="majorHAnsi"/>
          <w:b/>
        </w:rPr>
      </w:pPr>
      <w:r w:rsidRPr="00BF70E4">
        <w:rPr>
          <w:rFonts w:asciiTheme="majorHAnsi" w:hAnsiTheme="majorHAnsi" w:cstheme="majorHAnsi"/>
          <w:b/>
        </w:rPr>
        <w:t>Southern Migrant Resource Centre</w:t>
      </w:r>
    </w:p>
    <w:p w14:paraId="1474B11F" w14:textId="77777777" w:rsidR="002C7A86" w:rsidRPr="00BF70E4" w:rsidRDefault="002C7A86" w:rsidP="002C7A86">
      <w:pPr>
        <w:rPr>
          <w:rFonts w:asciiTheme="majorHAnsi" w:hAnsiTheme="majorHAnsi" w:cstheme="majorHAnsi"/>
          <w:b/>
        </w:rPr>
      </w:pPr>
      <w:r w:rsidRPr="00BF70E4">
        <w:rPr>
          <w:rFonts w:asciiTheme="majorHAnsi" w:hAnsiTheme="majorHAnsi" w:cstheme="majorHAnsi"/>
          <w:b/>
        </w:rPr>
        <w:t>Springvale Indo Chinese Mutual Assistance Association</w:t>
      </w:r>
    </w:p>
    <w:p w14:paraId="5BBBAB5B" w14:textId="59C4A307" w:rsidR="002C7A86" w:rsidRDefault="002C7A86" w:rsidP="002C7A86">
      <w:pPr>
        <w:rPr>
          <w:rFonts w:asciiTheme="majorHAnsi" w:hAnsiTheme="majorHAnsi" w:cstheme="majorHAnsi"/>
        </w:rPr>
      </w:pPr>
      <w:r w:rsidRPr="00BF70E4">
        <w:rPr>
          <w:rFonts w:asciiTheme="majorHAnsi" w:hAnsiTheme="majorHAnsi" w:cstheme="majorHAnsi"/>
          <w:b/>
        </w:rPr>
        <w:t>Springvale Monash Legal Service</w:t>
      </w:r>
      <w:r w:rsidR="00E4119E">
        <w:rPr>
          <w:rFonts w:asciiTheme="majorHAnsi" w:hAnsiTheme="majorHAnsi" w:cstheme="majorHAnsi"/>
          <w:b/>
        </w:rPr>
        <w:t xml:space="preserve"> Inc. </w:t>
      </w:r>
    </w:p>
    <w:p w14:paraId="36306CA9" w14:textId="11AE87F3" w:rsidR="00BF70E4" w:rsidRDefault="00BF70E4" w:rsidP="002C7A86">
      <w:pPr>
        <w:rPr>
          <w:rFonts w:asciiTheme="majorHAnsi" w:hAnsiTheme="majorHAnsi" w:cstheme="majorHAnsi"/>
        </w:rPr>
      </w:pPr>
      <w:r w:rsidRPr="00BF70E4">
        <w:rPr>
          <w:rFonts w:asciiTheme="majorHAnsi" w:hAnsiTheme="majorHAnsi" w:cstheme="majorHAnsi"/>
          <w:noProof/>
          <w:lang w:eastAsia="en-AU"/>
        </w:rPr>
        <w:drawing>
          <wp:anchor distT="0" distB="0" distL="114300" distR="114300" simplePos="0" relativeHeight="251664384" behindDoc="0" locked="0" layoutInCell="1" allowOverlap="1" wp14:anchorId="0BC4C745" wp14:editId="3E30799D">
            <wp:simplePos x="0" y="0"/>
            <wp:positionH relativeFrom="column">
              <wp:posOffset>-17277</wp:posOffset>
            </wp:positionH>
            <wp:positionV relativeFrom="paragraph">
              <wp:posOffset>110167</wp:posOffset>
            </wp:positionV>
            <wp:extent cx="2143929" cy="1535275"/>
            <wp:effectExtent l="0" t="0" r="8890" b="8255"/>
            <wp:wrapNone/>
            <wp:docPr id="2" name="Picture 2" descr="C:\Users\ashleighn\Downloads\GDTfGR_Logo_Positive Orange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hleighn\Downloads\GDTfGR_Logo_Positive Orange Pan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929" cy="153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571EC" w14:textId="3CD4FC59" w:rsidR="00BF70E4" w:rsidRPr="002C7A86" w:rsidRDefault="00BF70E4" w:rsidP="002C7A86">
      <w:pPr>
        <w:rPr>
          <w:rFonts w:asciiTheme="majorHAnsi" w:hAnsiTheme="majorHAnsi" w:cstheme="majorHAnsi"/>
        </w:rPr>
      </w:pPr>
    </w:p>
    <w:p w14:paraId="7DA8988F" w14:textId="4196E405" w:rsidR="00C02251" w:rsidRPr="000260BA" w:rsidRDefault="00C02251" w:rsidP="00B97116">
      <w:pPr>
        <w:rPr>
          <w:rFonts w:asciiTheme="majorHAnsi" w:hAnsiTheme="majorHAnsi" w:cstheme="majorHAnsi"/>
        </w:rPr>
      </w:pPr>
    </w:p>
    <w:p w14:paraId="0B89517C" w14:textId="2358347A" w:rsidR="008C4918" w:rsidRPr="000260BA" w:rsidRDefault="008C4918" w:rsidP="00B97116">
      <w:pPr>
        <w:rPr>
          <w:rFonts w:asciiTheme="majorHAnsi" w:hAnsiTheme="majorHAnsi" w:cstheme="majorHAnsi"/>
        </w:rPr>
      </w:pPr>
    </w:p>
    <w:p w14:paraId="2E07C21D" w14:textId="241411FC" w:rsidR="008C4918" w:rsidRPr="000260BA" w:rsidRDefault="008C4918" w:rsidP="00B97116">
      <w:pPr>
        <w:rPr>
          <w:rFonts w:asciiTheme="majorHAnsi" w:hAnsiTheme="majorHAnsi" w:cstheme="majorHAnsi"/>
        </w:rPr>
      </w:pPr>
    </w:p>
    <w:p w14:paraId="7AAE919F" w14:textId="2D61FC99" w:rsidR="008C4918" w:rsidRPr="000260BA" w:rsidRDefault="008C4918" w:rsidP="00B97116">
      <w:pPr>
        <w:rPr>
          <w:rFonts w:asciiTheme="majorHAnsi" w:hAnsiTheme="majorHAnsi" w:cstheme="majorHAnsi"/>
        </w:rPr>
      </w:pPr>
    </w:p>
    <w:p w14:paraId="5F0B1CD5" w14:textId="6F627249" w:rsidR="008C4918" w:rsidRPr="000260BA" w:rsidRDefault="008C4918" w:rsidP="00B97116">
      <w:pPr>
        <w:rPr>
          <w:rFonts w:asciiTheme="majorHAnsi" w:hAnsiTheme="majorHAnsi" w:cstheme="majorHAnsi"/>
        </w:rPr>
      </w:pPr>
    </w:p>
    <w:p w14:paraId="485DFBEF" w14:textId="4945F256" w:rsidR="008C4918" w:rsidRPr="000260BA" w:rsidRDefault="008C4918" w:rsidP="00B97116">
      <w:pPr>
        <w:rPr>
          <w:rFonts w:asciiTheme="majorHAnsi" w:hAnsiTheme="majorHAnsi" w:cstheme="majorHAnsi"/>
        </w:rPr>
      </w:pPr>
    </w:p>
    <w:p w14:paraId="0BA0E24C" w14:textId="41A8A9C1" w:rsidR="00B97116" w:rsidRPr="000260BA" w:rsidRDefault="00B97116" w:rsidP="00B97116">
      <w:pPr>
        <w:rPr>
          <w:rFonts w:asciiTheme="majorHAnsi" w:hAnsiTheme="majorHAnsi" w:cstheme="majorHAnsi"/>
        </w:rPr>
      </w:pPr>
    </w:p>
    <w:p w14:paraId="61DC28DA" w14:textId="781D74A1" w:rsidR="00B97116" w:rsidRPr="000260BA" w:rsidRDefault="00B97116" w:rsidP="00B97116">
      <w:pPr>
        <w:rPr>
          <w:rFonts w:asciiTheme="majorHAnsi" w:hAnsiTheme="majorHAnsi" w:cstheme="majorHAnsi"/>
        </w:rPr>
      </w:pPr>
    </w:p>
    <w:p w14:paraId="5596C278" w14:textId="183655D5" w:rsidR="008C4918" w:rsidRPr="000260BA" w:rsidRDefault="008C4918" w:rsidP="008C4918">
      <w:pPr>
        <w:rPr>
          <w:rFonts w:asciiTheme="majorHAnsi" w:hAnsiTheme="majorHAnsi" w:cstheme="majorHAnsi"/>
        </w:rPr>
      </w:pPr>
    </w:p>
    <w:p w14:paraId="4608BA86" w14:textId="00D148F5" w:rsidR="008F0250" w:rsidRPr="000260BA" w:rsidRDefault="00043C1B" w:rsidP="008F0250">
      <w:pPr>
        <w:rPr>
          <w:rFonts w:asciiTheme="majorHAnsi" w:hAnsiTheme="majorHAnsi" w:cstheme="majorHAnsi"/>
        </w:rPr>
      </w:pPr>
      <w:r w:rsidRPr="000260BA">
        <w:rPr>
          <w:rFonts w:asciiTheme="majorHAnsi" w:hAnsiTheme="majorHAnsi" w:cstheme="majorHAnsi"/>
        </w:rPr>
        <w:br w:type="page"/>
      </w:r>
    </w:p>
    <w:p w14:paraId="1190EE09" w14:textId="6BF99587" w:rsidR="00CE0D7E" w:rsidRPr="000260BA" w:rsidRDefault="008C4918" w:rsidP="00CE0D7E">
      <w:pPr>
        <w:rPr>
          <w:rFonts w:asciiTheme="majorHAnsi" w:hAnsiTheme="majorHAnsi" w:cstheme="majorHAnsi"/>
        </w:rPr>
      </w:pPr>
      <w:r w:rsidRPr="000260BA">
        <w:rPr>
          <w:rFonts w:asciiTheme="majorHAnsi" w:hAnsiTheme="majorHAnsi" w:cstheme="majorHAnsi"/>
        </w:rPr>
        <w:lastRenderedPageBreak/>
        <w:t>The Greater Dandenong Taskforce for Gambling Reform urges this Commission to consider the social and economic consequences that flow from the location of gaming machines</w:t>
      </w:r>
      <w:r w:rsidR="008F0250">
        <w:rPr>
          <w:rFonts w:asciiTheme="majorHAnsi" w:hAnsiTheme="majorHAnsi" w:cstheme="majorHAnsi"/>
        </w:rPr>
        <w:t xml:space="preserve">, and reject the application made by </w:t>
      </w:r>
      <w:r w:rsidR="008F0250" w:rsidRPr="008F0250">
        <w:rPr>
          <w:rFonts w:asciiTheme="majorHAnsi" w:hAnsiTheme="majorHAnsi" w:cstheme="majorHAnsi"/>
        </w:rPr>
        <w:t xml:space="preserve">Dandenong Cranbourne </w:t>
      </w:r>
      <w:proofErr w:type="spellStart"/>
      <w:r w:rsidR="008F0250" w:rsidRPr="008F0250">
        <w:rPr>
          <w:rFonts w:asciiTheme="majorHAnsi" w:hAnsiTheme="majorHAnsi" w:cstheme="majorHAnsi"/>
        </w:rPr>
        <w:t>RSL</w:t>
      </w:r>
      <w:proofErr w:type="spellEnd"/>
      <w:r w:rsidR="008F0250" w:rsidRPr="008F0250">
        <w:rPr>
          <w:rFonts w:asciiTheme="majorHAnsi" w:hAnsiTheme="majorHAnsi" w:cstheme="majorHAnsi"/>
        </w:rPr>
        <w:t xml:space="preserve"> Sub Branch application for a licence to install and operate 11 </w:t>
      </w:r>
      <w:r w:rsidR="00C02251">
        <w:rPr>
          <w:rFonts w:asciiTheme="majorHAnsi" w:hAnsiTheme="majorHAnsi" w:cstheme="majorHAnsi"/>
        </w:rPr>
        <w:t>EGM</w:t>
      </w:r>
      <w:r w:rsidR="008F0250" w:rsidRPr="008F0250">
        <w:rPr>
          <w:rFonts w:asciiTheme="majorHAnsi" w:hAnsiTheme="majorHAnsi" w:cstheme="majorHAnsi"/>
        </w:rPr>
        <w:t xml:space="preserve">s at the Dandenong </w:t>
      </w:r>
      <w:proofErr w:type="spellStart"/>
      <w:r w:rsidR="008F0250" w:rsidRPr="008F0250">
        <w:rPr>
          <w:rFonts w:asciiTheme="majorHAnsi" w:hAnsiTheme="majorHAnsi" w:cstheme="majorHAnsi"/>
        </w:rPr>
        <w:t>RSL</w:t>
      </w:r>
      <w:proofErr w:type="spellEnd"/>
      <w:r w:rsidR="008F0250" w:rsidRPr="008F0250">
        <w:rPr>
          <w:rFonts w:asciiTheme="majorHAnsi" w:hAnsiTheme="majorHAnsi" w:cstheme="majorHAnsi"/>
        </w:rPr>
        <w:t>.</w:t>
      </w:r>
    </w:p>
    <w:p w14:paraId="6747E127" w14:textId="50CCA105" w:rsidR="008C4918" w:rsidRPr="000260BA" w:rsidRDefault="00655A4B" w:rsidP="00243408">
      <w:pPr>
        <w:rPr>
          <w:rFonts w:asciiTheme="majorHAnsi" w:hAnsiTheme="majorHAnsi" w:cstheme="majorHAnsi"/>
          <w:b/>
        </w:rPr>
      </w:pPr>
      <w:r w:rsidRPr="000260BA">
        <w:rPr>
          <w:rFonts w:asciiTheme="majorHAnsi" w:hAnsiTheme="majorHAnsi" w:cstheme="majorHAnsi"/>
          <w:b/>
          <w:sz w:val="28"/>
        </w:rPr>
        <w:t xml:space="preserve">Dandenong </w:t>
      </w:r>
      <w:proofErr w:type="spellStart"/>
      <w:r w:rsidR="008C4918" w:rsidRPr="000260BA">
        <w:rPr>
          <w:rFonts w:asciiTheme="majorHAnsi" w:hAnsiTheme="majorHAnsi" w:cstheme="majorHAnsi"/>
          <w:b/>
          <w:sz w:val="28"/>
        </w:rPr>
        <w:t>RSL</w:t>
      </w:r>
      <w:proofErr w:type="spellEnd"/>
      <w:r w:rsidR="008C4918" w:rsidRPr="000260BA">
        <w:rPr>
          <w:rFonts w:asciiTheme="majorHAnsi" w:hAnsiTheme="majorHAnsi" w:cstheme="majorHAnsi"/>
          <w:b/>
          <w:sz w:val="28"/>
        </w:rPr>
        <w:t xml:space="preserve"> </w:t>
      </w:r>
    </w:p>
    <w:p w14:paraId="4B3100FF" w14:textId="60EA532D" w:rsidR="007B6282" w:rsidRPr="000260BA" w:rsidRDefault="00262879" w:rsidP="007B6282">
      <w:pPr>
        <w:rPr>
          <w:rFonts w:asciiTheme="majorHAnsi" w:hAnsiTheme="majorHAnsi" w:cstheme="majorHAnsi"/>
        </w:rPr>
      </w:pPr>
      <w:r w:rsidRPr="006B4AA8">
        <w:rPr>
          <w:rFonts w:asciiTheme="majorHAnsi" w:hAnsiTheme="majorHAnsi" w:cstheme="majorHAnsi"/>
        </w:rPr>
        <w:t>The overall losses in the 2.5 kilometre radius around</w:t>
      </w:r>
      <w:r w:rsidR="008F0250">
        <w:rPr>
          <w:rFonts w:asciiTheme="majorHAnsi" w:hAnsiTheme="majorHAnsi" w:cstheme="majorHAnsi"/>
        </w:rPr>
        <w:t xml:space="preserve"> Dandenong </w:t>
      </w:r>
      <w:proofErr w:type="spellStart"/>
      <w:r w:rsidR="008F0250">
        <w:rPr>
          <w:rFonts w:asciiTheme="majorHAnsi" w:hAnsiTheme="majorHAnsi" w:cstheme="majorHAnsi"/>
        </w:rPr>
        <w:t>RSL</w:t>
      </w:r>
      <w:proofErr w:type="spellEnd"/>
      <w:r w:rsidR="008F0250">
        <w:rPr>
          <w:rFonts w:asciiTheme="majorHAnsi" w:hAnsiTheme="majorHAnsi" w:cstheme="majorHAnsi"/>
        </w:rPr>
        <w:t xml:space="preserve"> have</w:t>
      </w:r>
      <w:r w:rsidRPr="006B4AA8">
        <w:rPr>
          <w:rFonts w:asciiTheme="majorHAnsi" w:hAnsiTheme="majorHAnsi" w:cstheme="majorHAnsi"/>
        </w:rPr>
        <w:t xml:space="preserve"> jumped from $42.1 million to $43.3 million annually.</w:t>
      </w:r>
      <w:r>
        <w:rPr>
          <w:rFonts w:asciiTheme="majorHAnsi" w:hAnsiTheme="majorHAnsi" w:cstheme="majorHAnsi"/>
        </w:rPr>
        <w:t xml:space="preserve"> </w:t>
      </w:r>
      <w:r w:rsidR="00595544" w:rsidRPr="000260BA">
        <w:rPr>
          <w:rFonts w:asciiTheme="majorHAnsi" w:hAnsiTheme="majorHAnsi" w:cstheme="majorHAnsi"/>
        </w:rPr>
        <w:t xml:space="preserve">In addition, Dandenong </w:t>
      </w:r>
      <w:proofErr w:type="spellStart"/>
      <w:r w:rsidR="00595544" w:rsidRPr="000260BA">
        <w:rPr>
          <w:rFonts w:asciiTheme="majorHAnsi" w:hAnsiTheme="majorHAnsi" w:cstheme="majorHAnsi"/>
        </w:rPr>
        <w:t>RSL</w:t>
      </w:r>
      <w:proofErr w:type="spellEnd"/>
      <w:r w:rsidR="00595544" w:rsidRPr="000260BA">
        <w:rPr>
          <w:rFonts w:asciiTheme="majorHAnsi" w:hAnsiTheme="majorHAnsi" w:cstheme="majorHAnsi"/>
        </w:rPr>
        <w:t xml:space="preserve"> saw one of the biggest jumps</w:t>
      </w:r>
      <w:r w:rsidR="00C02251">
        <w:rPr>
          <w:rFonts w:asciiTheme="majorHAnsi" w:hAnsiTheme="majorHAnsi" w:cstheme="majorHAnsi"/>
        </w:rPr>
        <w:t xml:space="preserve"> in profit</w:t>
      </w:r>
      <w:r w:rsidR="00595544" w:rsidRPr="000260BA">
        <w:rPr>
          <w:rFonts w:asciiTheme="majorHAnsi" w:hAnsiTheme="majorHAnsi" w:cstheme="majorHAnsi"/>
        </w:rPr>
        <w:t xml:space="preserve"> in the City of Greater Dandenong, going from $6.98 million to $7,656,714 annually.</w:t>
      </w:r>
      <w:r w:rsidR="00595544" w:rsidRPr="000260BA">
        <w:rPr>
          <w:rStyle w:val="FootnoteReference"/>
          <w:rFonts w:asciiTheme="majorHAnsi" w:hAnsiTheme="majorHAnsi" w:cstheme="majorHAnsi"/>
        </w:rPr>
        <w:footnoteReference w:id="1"/>
      </w:r>
      <w:r w:rsidR="00595544" w:rsidRPr="000260BA">
        <w:rPr>
          <w:rFonts w:asciiTheme="majorHAnsi" w:hAnsiTheme="majorHAnsi" w:cstheme="majorHAnsi"/>
        </w:rPr>
        <w:t xml:space="preserve"> This profit is already causing significant harm to our community and we strongly oppose any increase of EGMs that would </w:t>
      </w:r>
      <w:r w:rsidR="008F0250">
        <w:rPr>
          <w:rFonts w:asciiTheme="majorHAnsi" w:hAnsiTheme="majorHAnsi" w:cstheme="majorHAnsi"/>
        </w:rPr>
        <w:t>compound</w:t>
      </w:r>
      <w:r w:rsidR="00595544" w:rsidRPr="000260BA">
        <w:rPr>
          <w:rFonts w:asciiTheme="majorHAnsi" w:hAnsiTheme="majorHAnsi" w:cstheme="majorHAnsi"/>
        </w:rPr>
        <w:t xml:space="preserve"> this. </w:t>
      </w:r>
      <w:r w:rsidR="006B4AA8">
        <w:rPr>
          <w:rFonts w:asciiTheme="majorHAnsi" w:hAnsiTheme="majorHAnsi" w:cstheme="majorHAnsi"/>
        </w:rPr>
        <w:t xml:space="preserve"> </w:t>
      </w:r>
      <w:r w:rsidR="008F0250">
        <w:rPr>
          <w:rFonts w:asciiTheme="majorHAnsi" w:hAnsiTheme="majorHAnsi" w:cstheme="majorHAnsi"/>
        </w:rPr>
        <w:t xml:space="preserve"> </w:t>
      </w:r>
    </w:p>
    <w:p w14:paraId="4FB6652A" w14:textId="77777777" w:rsidR="000703A3" w:rsidRDefault="007B6282" w:rsidP="007B6282">
      <w:pPr>
        <w:rPr>
          <w:rFonts w:asciiTheme="majorHAnsi" w:hAnsiTheme="majorHAnsi" w:cstheme="majorHAnsi"/>
        </w:rPr>
      </w:pPr>
      <w:r w:rsidRPr="000260BA">
        <w:rPr>
          <w:rFonts w:asciiTheme="majorHAnsi" w:hAnsiTheme="majorHAnsi" w:cstheme="majorHAnsi"/>
        </w:rPr>
        <w:t xml:space="preserve">We are extremely concerned with elements of the </w:t>
      </w:r>
      <w:proofErr w:type="spellStart"/>
      <w:r w:rsidRPr="000260BA">
        <w:rPr>
          <w:rFonts w:asciiTheme="majorHAnsi" w:hAnsiTheme="majorHAnsi" w:cstheme="majorHAnsi"/>
        </w:rPr>
        <w:t>RSL’s</w:t>
      </w:r>
      <w:proofErr w:type="spellEnd"/>
      <w:r w:rsidRPr="000260BA">
        <w:rPr>
          <w:rFonts w:asciiTheme="majorHAnsi" w:hAnsiTheme="majorHAnsi" w:cstheme="majorHAnsi"/>
        </w:rPr>
        <w:t xml:space="preserve"> application to the </w:t>
      </w:r>
      <w:proofErr w:type="spellStart"/>
      <w:r w:rsidR="0041396B" w:rsidRPr="0041396B">
        <w:rPr>
          <w:rFonts w:asciiTheme="majorHAnsi" w:hAnsiTheme="majorHAnsi" w:cstheme="majorHAnsi"/>
        </w:rPr>
        <w:t>VCGLR</w:t>
      </w:r>
      <w:proofErr w:type="spellEnd"/>
      <w:r w:rsidRPr="000260BA">
        <w:rPr>
          <w:rFonts w:asciiTheme="majorHAnsi" w:hAnsiTheme="majorHAnsi" w:cstheme="majorHAnsi"/>
        </w:rPr>
        <w:t xml:space="preserve">, indicating that </w:t>
      </w:r>
      <w:r w:rsidR="001A2B8C" w:rsidRPr="000260BA">
        <w:rPr>
          <w:rFonts w:asciiTheme="majorHAnsi" w:hAnsiTheme="majorHAnsi" w:cstheme="majorHAnsi"/>
        </w:rPr>
        <w:t xml:space="preserve">a </w:t>
      </w:r>
      <w:r w:rsidRPr="000260BA">
        <w:rPr>
          <w:rFonts w:asciiTheme="majorHAnsi" w:hAnsiTheme="majorHAnsi" w:cstheme="majorHAnsi"/>
        </w:rPr>
        <w:t>welfare worker will be employed with a small amount of the profits gained from the EGMs.</w:t>
      </w:r>
      <w:r w:rsidR="00243408" w:rsidRPr="000260BA">
        <w:rPr>
          <w:rFonts w:asciiTheme="majorHAnsi" w:hAnsiTheme="majorHAnsi" w:cstheme="majorHAnsi"/>
        </w:rPr>
        <w:t xml:space="preserve"> Witness statements </w:t>
      </w:r>
      <w:r w:rsidR="001A2B8C" w:rsidRPr="000260BA">
        <w:rPr>
          <w:rFonts w:asciiTheme="majorHAnsi" w:hAnsiTheme="majorHAnsi" w:cstheme="majorHAnsi"/>
        </w:rPr>
        <w:t xml:space="preserve">included in their application </w:t>
      </w:r>
      <w:r w:rsidR="00243408" w:rsidRPr="000260BA">
        <w:rPr>
          <w:rFonts w:asciiTheme="majorHAnsi" w:hAnsiTheme="majorHAnsi" w:cstheme="majorHAnsi"/>
        </w:rPr>
        <w:t xml:space="preserve">claim that $65,000.00 will be spent on this welfare worker. </w:t>
      </w:r>
      <w:r w:rsidR="001A2B8C" w:rsidRPr="000260BA">
        <w:rPr>
          <w:rFonts w:asciiTheme="majorHAnsi" w:hAnsiTheme="majorHAnsi" w:cstheme="majorHAnsi"/>
        </w:rPr>
        <w:t xml:space="preserve">Of the </w:t>
      </w:r>
      <w:r w:rsidR="004F1F07" w:rsidRPr="000260BA">
        <w:rPr>
          <w:rFonts w:asciiTheme="majorHAnsi" w:hAnsiTheme="majorHAnsi" w:cstheme="majorHAnsi"/>
        </w:rPr>
        <w:t xml:space="preserve">alleged </w:t>
      </w:r>
      <w:r w:rsidR="001A2B8C" w:rsidRPr="000260BA">
        <w:rPr>
          <w:rFonts w:asciiTheme="majorHAnsi" w:hAnsiTheme="majorHAnsi" w:cstheme="majorHAnsi"/>
        </w:rPr>
        <w:t xml:space="preserve">$868,984 generated from </w:t>
      </w:r>
      <w:r w:rsidR="00852D7B" w:rsidRPr="000260BA">
        <w:rPr>
          <w:rFonts w:asciiTheme="majorHAnsi" w:hAnsiTheme="majorHAnsi" w:cstheme="majorHAnsi"/>
        </w:rPr>
        <w:t>these</w:t>
      </w:r>
      <w:r w:rsidR="001A2B8C" w:rsidRPr="000260BA">
        <w:rPr>
          <w:rFonts w:asciiTheme="majorHAnsi" w:hAnsiTheme="majorHAnsi" w:cstheme="majorHAnsi"/>
        </w:rPr>
        <w:t xml:space="preserve"> EGMs, this represents 7.5% of the profits from the new machines, </w:t>
      </w:r>
      <w:r w:rsidR="008F0250">
        <w:rPr>
          <w:rFonts w:asciiTheme="majorHAnsi" w:hAnsiTheme="majorHAnsi" w:cstheme="majorHAnsi"/>
        </w:rPr>
        <w:t>and</w:t>
      </w:r>
      <w:r w:rsidR="001A2B8C" w:rsidRPr="000260BA">
        <w:rPr>
          <w:rFonts w:asciiTheme="majorHAnsi" w:hAnsiTheme="majorHAnsi" w:cstheme="majorHAnsi"/>
        </w:rPr>
        <w:t xml:space="preserve"> less than 1% of </w:t>
      </w:r>
      <w:r w:rsidR="00852D7B" w:rsidRPr="000260BA">
        <w:rPr>
          <w:rFonts w:asciiTheme="majorHAnsi" w:hAnsiTheme="majorHAnsi" w:cstheme="majorHAnsi"/>
        </w:rPr>
        <w:t xml:space="preserve">the </w:t>
      </w:r>
      <w:proofErr w:type="spellStart"/>
      <w:r w:rsidR="00852D7B" w:rsidRPr="000260BA">
        <w:rPr>
          <w:rFonts w:asciiTheme="majorHAnsi" w:hAnsiTheme="majorHAnsi" w:cstheme="majorHAnsi"/>
        </w:rPr>
        <w:t>RSL’s</w:t>
      </w:r>
      <w:proofErr w:type="spellEnd"/>
      <w:r w:rsidR="001A2B8C" w:rsidRPr="000260BA">
        <w:rPr>
          <w:rFonts w:asciiTheme="majorHAnsi" w:hAnsiTheme="majorHAnsi" w:cstheme="majorHAnsi"/>
        </w:rPr>
        <w:t xml:space="preserve"> over</w:t>
      </w:r>
      <w:r w:rsidR="00852D7B" w:rsidRPr="000260BA">
        <w:rPr>
          <w:rFonts w:asciiTheme="majorHAnsi" w:hAnsiTheme="majorHAnsi" w:cstheme="majorHAnsi"/>
        </w:rPr>
        <w:t>all profits</w:t>
      </w:r>
      <w:r w:rsidR="001A2B8C" w:rsidRPr="000260BA">
        <w:rPr>
          <w:rFonts w:asciiTheme="majorHAnsi" w:hAnsiTheme="majorHAnsi" w:cstheme="majorHAnsi"/>
        </w:rPr>
        <w:t xml:space="preserve">. </w:t>
      </w:r>
      <w:r w:rsidR="00371CBF">
        <w:rPr>
          <w:rFonts w:asciiTheme="majorHAnsi" w:hAnsiTheme="majorHAnsi" w:cstheme="majorHAnsi"/>
        </w:rPr>
        <w:t xml:space="preserve">Another witness statement stresses the </w:t>
      </w:r>
      <w:proofErr w:type="spellStart"/>
      <w:r w:rsidR="00371CBF">
        <w:rPr>
          <w:rFonts w:asciiTheme="majorHAnsi" w:hAnsiTheme="majorHAnsi" w:cstheme="majorHAnsi"/>
        </w:rPr>
        <w:t>RSL’s</w:t>
      </w:r>
      <w:proofErr w:type="spellEnd"/>
      <w:r w:rsidR="00371CBF">
        <w:rPr>
          <w:rFonts w:asciiTheme="majorHAnsi" w:hAnsiTheme="majorHAnsi" w:cstheme="majorHAnsi"/>
        </w:rPr>
        <w:t xml:space="preserve"> current budget issues, stating that ‘</w:t>
      </w:r>
      <w:r w:rsidR="00371CBF" w:rsidRPr="00371CBF">
        <w:rPr>
          <w:rFonts w:asciiTheme="majorHAnsi" w:hAnsiTheme="majorHAnsi" w:cstheme="majorHAnsi"/>
        </w:rPr>
        <w:t>our ability to maintain our levels of welfare service</w:t>
      </w:r>
      <w:r w:rsidR="00371CBF">
        <w:rPr>
          <w:rFonts w:asciiTheme="majorHAnsi" w:hAnsiTheme="majorHAnsi" w:cstheme="majorHAnsi"/>
        </w:rPr>
        <w:t xml:space="preserve"> to veterans and to their wider </w:t>
      </w:r>
      <w:r w:rsidR="00371CBF" w:rsidRPr="00371CBF">
        <w:rPr>
          <w:rFonts w:asciiTheme="majorHAnsi" w:hAnsiTheme="majorHAnsi" w:cstheme="majorHAnsi"/>
        </w:rPr>
        <w:t>community is now threatened and our welfare funds are exhausted</w:t>
      </w:r>
      <w:r w:rsidR="00371CBF">
        <w:rPr>
          <w:rFonts w:asciiTheme="majorHAnsi" w:hAnsiTheme="majorHAnsi" w:cstheme="majorHAnsi"/>
        </w:rPr>
        <w:t xml:space="preserve">’. The nature of this statement indicates that welfare spending may be reduced or stopped all together if new machines are not installed. </w:t>
      </w:r>
      <w:r w:rsidR="000703A3" w:rsidRPr="000260BA">
        <w:rPr>
          <w:rFonts w:asciiTheme="majorHAnsi" w:hAnsiTheme="majorHAnsi" w:cstheme="majorHAnsi"/>
        </w:rPr>
        <w:t xml:space="preserve">The practice of Gaming venues using ‘community contributions’ as part of their applications is </w:t>
      </w:r>
      <w:r w:rsidR="000703A3">
        <w:rPr>
          <w:rFonts w:asciiTheme="majorHAnsi" w:hAnsiTheme="majorHAnsi" w:cstheme="majorHAnsi"/>
        </w:rPr>
        <w:t>extremely</w:t>
      </w:r>
      <w:r w:rsidR="000703A3" w:rsidRPr="000260BA">
        <w:rPr>
          <w:rFonts w:asciiTheme="majorHAnsi" w:hAnsiTheme="majorHAnsi" w:cstheme="majorHAnsi"/>
        </w:rPr>
        <w:t xml:space="preserve"> problematic, as this can be interpreted as a venue </w:t>
      </w:r>
      <w:r w:rsidR="000703A3" w:rsidRPr="000260BA">
        <w:rPr>
          <w:rFonts w:asciiTheme="majorHAnsi" w:hAnsiTheme="majorHAnsi" w:cstheme="majorHAnsi"/>
          <w:i/>
        </w:rPr>
        <w:t>purchasing</w:t>
      </w:r>
      <w:r w:rsidR="000703A3" w:rsidRPr="000260BA">
        <w:rPr>
          <w:rFonts w:asciiTheme="majorHAnsi" w:hAnsiTheme="majorHAnsi" w:cstheme="majorHAnsi"/>
        </w:rPr>
        <w:t xml:space="preserve"> an application (at minimal actual financial cost), with little overall community benefit to outweigh the significant losses experienced. </w:t>
      </w:r>
      <w:r w:rsidR="000703A3">
        <w:rPr>
          <w:rFonts w:asciiTheme="majorHAnsi" w:hAnsiTheme="majorHAnsi" w:cstheme="majorHAnsi"/>
        </w:rPr>
        <w:t>In 2015/16, in the City of Greater Dandenong, the t</w:t>
      </w:r>
      <w:r w:rsidR="000703A3" w:rsidRPr="00543CCD">
        <w:rPr>
          <w:rFonts w:asciiTheme="majorHAnsi" w:hAnsiTheme="majorHAnsi" w:cstheme="majorHAnsi"/>
        </w:rPr>
        <w:t>otal paid by club venues as gifts, donations, sponsorships, volunteer expenses and veterans support</w:t>
      </w:r>
      <w:r w:rsidR="000703A3">
        <w:rPr>
          <w:rFonts w:asciiTheme="majorHAnsi" w:hAnsiTheme="majorHAnsi" w:cstheme="majorHAnsi"/>
        </w:rPr>
        <w:t xml:space="preserve"> only amounts to a mere 6.3% of the total losses experienced by our community. ‘Community contributions’ drawn from the community’s losses is in fact not a contribution at all.</w:t>
      </w:r>
    </w:p>
    <w:p w14:paraId="0953EFBC" w14:textId="2353CB3C" w:rsidR="008F0250" w:rsidRDefault="001A2B8C" w:rsidP="007B6282">
      <w:pPr>
        <w:rPr>
          <w:rFonts w:asciiTheme="majorHAnsi" w:hAnsiTheme="majorHAnsi" w:cstheme="majorHAnsi"/>
        </w:rPr>
      </w:pPr>
      <w:r w:rsidRPr="000260BA">
        <w:rPr>
          <w:rFonts w:asciiTheme="majorHAnsi" w:hAnsiTheme="majorHAnsi" w:cstheme="majorHAnsi"/>
        </w:rPr>
        <w:t>Therefore</w:t>
      </w:r>
      <w:r w:rsidR="008D0533" w:rsidRPr="000260BA">
        <w:rPr>
          <w:rFonts w:asciiTheme="majorHAnsi" w:hAnsiTheme="majorHAnsi" w:cstheme="majorHAnsi"/>
        </w:rPr>
        <w:t>,</w:t>
      </w:r>
      <w:r w:rsidRPr="000260BA">
        <w:rPr>
          <w:rFonts w:asciiTheme="majorHAnsi" w:hAnsiTheme="majorHAnsi" w:cstheme="majorHAnsi"/>
        </w:rPr>
        <w:t xml:space="preserve"> little weight should be given to this claim, as it represents an insignificant ‘community benefit’ in relation to the overall </w:t>
      </w:r>
      <w:r w:rsidR="008D0533" w:rsidRPr="000260BA">
        <w:rPr>
          <w:rFonts w:asciiTheme="majorHAnsi" w:hAnsiTheme="majorHAnsi" w:cstheme="majorHAnsi"/>
        </w:rPr>
        <w:t xml:space="preserve">harm from </w:t>
      </w:r>
      <w:r w:rsidRPr="000260BA">
        <w:rPr>
          <w:rFonts w:asciiTheme="majorHAnsi" w:hAnsiTheme="majorHAnsi" w:cstheme="majorHAnsi"/>
        </w:rPr>
        <w:t>losses the community faces</w:t>
      </w:r>
      <w:r w:rsidR="008D0533" w:rsidRPr="000260BA">
        <w:rPr>
          <w:rFonts w:asciiTheme="majorHAnsi" w:hAnsiTheme="majorHAnsi" w:cstheme="majorHAnsi"/>
        </w:rPr>
        <w:t xml:space="preserve"> from these machines</w:t>
      </w:r>
      <w:r w:rsidRPr="000260BA">
        <w:rPr>
          <w:rFonts w:asciiTheme="majorHAnsi" w:hAnsiTheme="majorHAnsi" w:cstheme="majorHAnsi"/>
        </w:rPr>
        <w:t xml:space="preserve">. </w:t>
      </w:r>
      <w:r w:rsidR="00A57C0D">
        <w:rPr>
          <w:rFonts w:asciiTheme="majorHAnsi" w:hAnsiTheme="majorHAnsi" w:cstheme="majorHAnsi"/>
        </w:rPr>
        <w:t xml:space="preserve">It has been estimated that </w:t>
      </w:r>
      <w:r w:rsidR="00A57C0D" w:rsidRPr="000260BA">
        <w:rPr>
          <w:rFonts w:asciiTheme="majorHAnsi" w:hAnsiTheme="majorHAnsi" w:cstheme="majorHAnsi"/>
        </w:rPr>
        <w:t>28% of regular EGM gamblers experience severe gambling-related problems</w:t>
      </w:r>
      <w:r w:rsidR="008E2024">
        <w:rPr>
          <w:rFonts w:asciiTheme="majorHAnsi" w:hAnsiTheme="majorHAnsi" w:cstheme="majorHAnsi"/>
        </w:rPr>
        <w:t>.</w:t>
      </w:r>
      <w:r w:rsidR="00A57C0D" w:rsidRPr="000260BA">
        <w:rPr>
          <w:rStyle w:val="FootnoteReference"/>
          <w:rFonts w:asciiTheme="majorHAnsi" w:hAnsiTheme="majorHAnsi" w:cstheme="majorHAnsi"/>
        </w:rPr>
        <w:footnoteReference w:id="2"/>
      </w:r>
    </w:p>
    <w:p w14:paraId="6D9F305C" w14:textId="2D51B155" w:rsidR="001A2B8C" w:rsidRPr="000260BA" w:rsidRDefault="009E48BD" w:rsidP="007B6282">
      <w:pPr>
        <w:rPr>
          <w:rFonts w:asciiTheme="majorHAnsi" w:hAnsiTheme="majorHAnsi" w:cstheme="majorHAnsi"/>
        </w:rPr>
      </w:pPr>
      <w:r w:rsidRPr="000260BA">
        <w:rPr>
          <w:rFonts w:asciiTheme="majorHAnsi" w:hAnsiTheme="majorHAnsi" w:cstheme="majorHAnsi"/>
        </w:rPr>
        <w:t xml:space="preserve">In the </w:t>
      </w:r>
      <w:r w:rsidR="008F0250">
        <w:rPr>
          <w:rFonts w:asciiTheme="majorHAnsi" w:hAnsiTheme="majorHAnsi" w:cstheme="majorHAnsi"/>
        </w:rPr>
        <w:t>City of Greater Dandenong</w:t>
      </w:r>
      <w:r w:rsidRPr="000260BA">
        <w:rPr>
          <w:rFonts w:asciiTheme="majorHAnsi" w:hAnsiTheme="majorHAnsi" w:cstheme="majorHAnsi"/>
        </w:rPr>
        <w:t xml:space="preserve">, </w:t>
      </w:r>
      <w:r w:rsidR="00B955B1" w:rsidRPr="000260BA">
        <w:rPr>
          <w:rFonts w:asciiTheme="majorHAnsi" w:hAnsiTheme="majorHAnsi" w:cstheme="majorHAnsi"/>
        </w:rPr>
        <w:t>EGM users loose approximately 21.7%</w:t>
      </w:r>
      <w:r w:rsidR="00B955B1" w:rsidRPr="000260BA">
        <w:rPr>
          <w:rStyle w:val="FootnoteReference"/>
          <w:rFonts w:asciiTheme="majorHAnsi" w:hAnsiTheme="majorHAnsi" w:cstheme="majorHAnsi"/>
        </w:rPr>
        <w:footnoteReference w:id="3"/>
      </w:r>
      <w:r w:rsidR="00B955B1" w:rsidRPr="000260BA">
        <w:rPr>
          <w:rFonts w:asciiTheme="majorHAnsi" w:hAnsiTheme="majorHAnsi" w:cstheme="majorHAnsi"/>
        </w:rPr>
        <w:t xml:space="preserve"> of their annual income each year.</w:t>
      </w:r>
      <w:r w:rsidR="00852D7B" w:rsidRPr="000260BA">
        <w:rPr>
          <w:rStyle w:val="FootnoteReference"/>
          <w:rFonts w:asciiTheme="majorHAnsi" w:hAnsiTheme="majorHAnsi" w:cstheme="majorHAnsi"/>
        </w:rPr>
        <w:footnoteReference w:id="4"/>
      </w:r>
      <w:r w:rsidR="00B955B1" w:rsidRPr="000260BA">
        <w:rPr>
          <w:rFonts w:asciiTheme="majorHAnsi" w:hAnsiTheme="majorHAnsi" w:cstheme="majorHAnsi"/>
        </w:rPr>
        <w:t xml:space="preserve"> </w:t>
      </w:r>
      <w:r w:rsidR="008F0250">
        <w:rPr>
          <w:rFonts w:asciiTheme="majorHAnsi" w:hAnsiTheme="majorHAnsi" w:cstheme="majorHAnsi"/>
        </w:rPr>
        <w:t>The</w:t>
      </w:r>
      <w:r w:rsidR="00B955B1" w:rsidRPr="000260BA">
        <w:rPr>
          <w:rFonts w:asciiTheme="majorHAnsi" w:hAnsiTheme="majorHAnsi" w:cstheme="majorHAnsi"/>
        </w:rPr>
        <w:t xml:space="preserve"> financial impact on individual</w:t>
      </w:r>
      <w:r w:rsidR="008F0250">
        <w:rPr>
          <w:rFonts w:asciiTheme="majorHAnsi" w:hAnsiTheme="majorHAnsi" w:cstheme="majorHAnsi"/>
        </w:rPr>
        <w:t>s, their families</w:t>
      </w:r>
      <w:r w:rsidR="00B955B1" w:rsidRPr="000260BA">
        <w:rPr>
          <w:rFonts w:asciiTheme="majorHAnsi" w:hAnsiTheme="majorHAnsi" w:cstheme="majorHAnsi"/>
        </w:rPr>
        <w:t xml:space="preserve"> and their community is a serious concern given the high levels of disadvantage within our </w:t>
      </w:r>
      <w:r w:rsidR="008F0250">
        <w:rPr>
          <w:rFonts w:asciiTheme="majorHAnsi" w:hAnsiTheme="majorHAnsi" w:cstheme="majorHAnsi"/>
        </w:rPr>
        <w:t>Local Government Area (</w:t>
      </w:r>
      <w:proofErr w:type="spellStart"/>
      <w:r w:rsidR="00B955B1" w:rsidRPr="000260BA">
        <w:rPr>
          <w:rFonts w:asciiTheme="majorHAnsi" w:hAnsiTheme="majorHAnsi" w:cstheme="majorHAnsi"/>
        </w:rPr>
        <w:t>LGA</w:t>
      </w:r>
      <w:proofErr w:type="spellEnd"/>
      <w:r w:rsidR="008F0250">
        <w:rPr>
          <w:rFonts w:asciiTheme="majorHAnsi" w:hAnsiTheme="majorHAnsi" w:cstheme="majorHAnsi"/>
        </w:rPr>
        <w:t>)</w:t>
      </w:r>
      <w:r w:rsidR="00B955B1" w:rsidRPr="000260BA">
        <w:rPr>
          <w:rFonts w:asciiTheme="majorHAnsi" w:hAnsiTheme="majorHAnsi" w:cstheme="majorHAnsi"/>
        </w:rPr>
        <w:t xml:space="preserve">. </w:t>
      </w:r>
      <w:r w:rsidR="00C624F4" w:rsidRPr="000260BA">
        <w:rPr>
          <w:rFonts w:asciiTheme="majorHAnsi" w:hAnsiTheme="majorHAnsi" w:cstheme="majorHAnsi"/>
        </w:rPr>
        <w:t xml:space="preserve">Our residents have little or no ability to incur gambling losses without harm. </w:t>
      </w:r>
      <w:r w:rsidR="00B955B1" w:rsidRPr="000260BA">
        <w:rPr>
          <w:rFonts w:asciiTheme="majorHAnsi" w:hAnsiTheme="majorHAnsi" w:cstheme="majorHAnsi"/>
        </w:rPr>
        <w:t xml:space="preserve">If people who use these machines loose on average 21.7% of their income, yet the promised community contribution is less than 1% of Dandenong </w:t>
      </w:r>
      <w:proofErr w:type="spellStart"/>
      <w:r w:rsidR="00B955B1" w:rsidRPr="000260BA">
        <w:rPr>
          <w:rFonts w:asciiTheme="majorHAnsi" w:hAnsiTheme="majorHAnsi" w:cstheme="majorHAnsi"/>
        </w:rPr>
        <w:t>RSL’s</w:t>
      </w:r>
      <w:proofErr w:type="spellEnd"/>
      <w:r w:rsidR="00B955B1" w:rsidRPr="000260BA">
        <w:rPr>
          <w:rFonts w:asciiTheme="majorHAnsi" w:hAnsiTheme="majorHAnsi" w:cstheme="majorHAnsi"/>
        </w:rPr>
        <w:t xml:space="preserve"> total </w:t>
      </w:r>
      <w:r w:rsidR="00371CBF">
        <w:rPr>
          <w:rFonts w:asciiTheme="majorHAnsi" w:hAnsiTheme="majorHAnsi" w:cstheme="majorHAnsi"/>
        </w:rPr>
        <w:t>profit</w:t>
      </w:r>
      <w:r w:rsidR="00B955B1" w:rsidRPr="000260BA">
        <w:rPr>
          <w:rFonts w:asciiTheme="majorHAnsi" w:hAnsiTheme="majorHAnsi" w:cstheme="majorHAnsi"/>
        </w:rPr>
        <w:t xml:space="preserve"> from EGMs, the detriment far outweighs any alleged benefits to the community.   </w:t>
      </w:r>
    </w:p>
    <w:p w14:paraId="3F26B83F" w14:textId="4B380E57" w:rsidR="00543CCD" w:rsidRDefault="00543CCD" w:rsidP="004833C7">
      <w:pPr>
        <w:rPr>
          <w:rFonts w:asciiTheme="majorHAnsi" w:hAnsiTheme="majorHAnsi" w:cstheme="majorHAnsi"/>
        </w:rPr>
      </w:pPr>
    </w:p>
    <w:p w14:paraId="0D49230F" w14:textId="6C8A1870" w:rsidR="008F0250" w:rsidRPr="000260BA" w:rsidRDefault="008F0250" w:rsidP="008F0250">
      <w:pPr>
        <w:rPr>
          <w:rFonts w:asciiTheme="majorHAnsi" w:hAnsiTheme="majorHAnsi" w:cstheme="majorHAnsi"/>
        </w:rPr>
      </w:pPr>
      <w:r>
        <w:rPr>
          <w:rFonts w:asciiTheme="majorHAnsi" w:hAnsiTheme="majorHAnsi" w:cstheme="majorHAnsi"/>
        </w:rPr>
        <w:lastRenderedPageBreak/>
        <w:t>Electronic Gaming Ma</w:t>
      </w:r>
      <w:bookmarkStart w:id="0" w:name="_GoBack"/>
      <w:bookmarkEnd w:id="0"/>
      <w:r>
        <w:rPr>
          <w:rFonts w:asciiTheme="majorHAnsi" w:hAnsiTheme="majorHAnsi" w:cstheme="majorHAnsi"/>
        </w:rPr>
        <w:t>chines (EGM) cause harm. This is well known and due to a range of reasons:</w:t>
      </w:r>
    </w:p>
    <w:p w14:paraId="49D29E16" w14:textId="77777777" w:rsidR="008F0250" w:rsidRPr="000260BA" w:rsidRDefault="008F0250" w:rsidP="008F0250">
      <w:pPr>
        <w:numPr>
          <w:ilvl w:val="0"/>
          <w:numId w:val="4"/>
        </w:numPr>
        <w:spacing w:after="200" w:line="360" w:lineRule="auto"/>
        <w:ind w:left="426"/>
        <w:contextualSpacing/>
        <w:rPr>
          <w:rFonts w:asciiTheme="majorHAnsi" w:eastAsia="Calibri" w:hAnsiTheme="majorHAnsi" w:cstheme="majorHAnsi"/>
          <w:lang w:val="en-US"/>
        </w:rPr>
      </w:pPr>
      <w:r w:rsidRPr="000260BA">
        <w:rPr>
          <w:rFonts w:asciiTheme="majorHAnsi" w:eastAsia="Calibri" w:hAnsiTheme="majorHAnsi" w:cstheme="majorHAnsi"/>
          <w:lang w:val="en-US"/>
        </w:rPr>
        <w:t>Poker Machines/ EGMs are prone to cause harm due to:</w:t>
      </w:r>
    </w:p>
    <w:p w14:paraId="30078F34" w14:textId="77777777" w:rsidR="008F0250" w:rsidRPr="000260BA" w:rsidRDefault="008F0250" w:rsidP="008F0250">
      <w:pPr>
        <w:numPr>
          <w:ilvl w:val="0"/>
          <w:numId w:val="5"/>
        </w:numPr>
        <w:spacing w:after="200" w:line="360" w:lineRule="auto"/>
        <w:contextualSpacing/>
        <w:rPr>
          <w:rFonts w:asciiTheme="majorHAnsi" w:eastAsia="Calibri" w:hAnsiTheme="majorHAnsi" w:cstheme="majorHAnsi"/>
          <w:lang w:val="en-US"/>
        </w:rPr>
      </w:pPr>
      <w:r w:rsidRPr="000260BA">
        <w:rPr>
          <w:rFonts w:asciiTheme="majorHAnsi" w:eastAsia="Calibri" w:hAnsiTheme="majorHAnsi" w:cstheme="majorHAnsi"/>
          <w:lang w:val="en-US"/>
        </w:rPr>
        <w:t>The random nature of each game;</w:t>
      </w:r>
    </w:p>
    <w:p w14:paraId="2D0D963C" w14:textId="77777777" w:rsidR="008F0250" w:rsidRPr="000260BA" w:rsidRDefault="008F0250" w:rsidP="008F0250">
      <w:pPr>
        <w:numPr>
          <w:ilvl w:val="0"/>
          <w:numId w:val="5"/>
        </w:numPr>
        <w:spacing w:after="200" w:line="360" w:lineRule="auto"/>
        <w:contextualSpacing/>
        <w:rPr>
          <w:rFonts w:asciiTheme="majorHAnsi" w:eastAsia="Calibri" w:hAnsiTheme="majorHAnsi" w:cstheme="majorHAnsi"/>
          <w:lang w:val="en-US"/>
        </w:rPr>
      </w:pPr>
      <w:r w:rsidRPr="000260BA">
        <w:rPr>
          <w:rFonts w:asciiTheme="majorHAnsi" w:eastAsia="Calibri" w:hAnsiTheme="majorHAnsi" w:cstheme="majorHAnsi"/>
          <w:lang w:val="en-US"/>
        </w:rPr>
        <w:t>Losses disguised as wins, creating a positive reinforcement effect for losses;</w:t>
      </w:r>
    </w:p>
    <w:p w14:paraId="7D493530" w14:textId="6A44C17B" w:rsidR="008F0250" w:rsidRPr="000260BA" w:rsidRDefault="008F0250" w:rsidP="008F0250">
      <w:pPr>
        <w:numPr>
          <w:ilvl w:val="0"/>
          <w:numId w:val="5"/>
        </w:numPr>
        <w:spacing w:after="0" w:line="360" w:lineRule="auto"/>
        <w:contextualSpacing/>
        <w:rPr>
          <w:rFonts w:asciiTheme="majorHAnsi" w:eastAsia="Calibri" w:hAnsiTheme="majorHAnsi" w:cstheme="majorHAnsi"/>
          <w:lang w:val="en-US"/>
        </w:rPr>
      </w:pPr>
      <w:r w:rsidRPr="000260BA">
        <w:rPr>
          <w:rFonts w:asciiTheme="majorHAnsi" w:eastAsia="Calibri" w:hAnsiTheme="majorHAnsi" w:cstheme="majorHAnsi"/>
          <w:lang w:val="en-US"/>
        </w:rPr>
        <w:t>The ov</w:t>
      </w:r>
      <w:r>
        <w:rPr>
          <w:rFonts w:asciiTheme="majorHAnsi" w:eastAsia="Calibri" w:hAnsiTheme="majorHAnsi" w:cstheme="majorHAnsi"/>
          <w:lang w:val="en-US"/>
        </w:rPr>
        <w:t>erall chance of winning (being misled</w:t>
      </w:r>
      <w:r w:rsidRPr="000260BA">
        <w:rPr>
          <w:rFonts w:asciiTheme="majorHAnsi" w:eastAsia="Calibri" w:hAnsiTheme="majorHAnsi" w:cstheme="majorHAnsi"/>
          <w:lang w:val="en-US"/>
        </w:rPr>
        <w:t xml:space="preserve"> about how EGM’s work </w:t>
      </w:r>
      <w:r w:rsidR="00A57C0D">
        <w:rPr>
          <w:rFonts w:asciiTheme="majorHAnsi" w:eastAsia="Calibri" w:hAnsiTheme="majorHAnsi" w:cstheme="majorHAnsi"/>
          <w:lang w:val="en-US"/>
        </w:rPr>
        <w:t xml:space="preserve">through communication and marketing strategy </w:t>
      </w:r>
      <w:r w:rsidRPr="000260BA">
        <w:rPr>
          <w:rFonts w:asciiTheme="majorHAnsi" w:eastAsia="Calibri" w:hAnsiTheme="majorHAnsi" w:cstheme="majorHAnsi"/>
          <w:lang w:val="en-US"/>
        </w:rPr>
        <w:t xml:space="preserve">can lead to people making spending decisions that significantly underestimate the price they are paying for the entertainment. </w:t>
      </w:r>
      <w:r w:rsidRPr="000260BA">
        <w:rPr>
          <w:rStyle w:val="FootnoteReference"/>
          <w:rFonts w:asciiTheme="majorHAnsi" w:eastAsia="Calibri" w:hAnsiTheme="majorHAnsi" w:cstheme="majorHAnsi"/>
          <w:lang w:val="en-US"/>
        </w:rPr>
        <w:footnoteReference w:id="5"/>
      </w:r>
    </w:p>
    <w:p w14:paraId="7C8A77E2" w14:textId="77777777" w:rsidR="008F0250" w:rsidRPr="000260BA" w:rsidRDefault="008F0250" w:rsidP="008F0250">
      <w:pPr>
        <w:numPr>
          <w:ilvl w:val="0"/>
          <w:numId w:val="5"/>
        </w:numPr>
        <w:spacing w:after="200" w:line="360" w:lineRule="auto"/>
        <w:contextualSpacing/>
        <w:rPr>
          <w:rFonts w:asciiTheme="majorHAnsi" w:eastAsia="Calibri" w:hAnsiTheme="majorHAnsi" w:cstheme="majorHAnsi"/>
          <w:sz w:val="24"/>
          <w:szCs w:val="24"/>
          <w:lang w:val="en-US"/>
        </w:rPr>
      </w:pPr>
      <w:r w:rsidRPr="000260BA">
        <w:rPr>
          <w:rFonts w:asciiTheme="majorHAnsi" w:eastAsia="Calibri" w:hAnsiTheme="majorHAnsi" w:cstheme="majorHAnsi"/>
          <w:lang w:val="en-US"/>
        </w:rPr>
        <w:t xml:space="preserve">The fact that EGM’s are designed to prolong play and maximize losses through a variety of design features. </w:t>
      </w:r>
      <w:r w:rsidRPr="000260BA">
        <w:rPr>
          <w:rStyle w:val="FootnoteReference"/>
          <w:rFonts w:asciiTheme="majorHAnsi" w:eastAsia="Calibri" w:hAnsiTheme="majorHAnsi" w:cstheme="majorHAnsi"/>
          <w:lang w:val="en-US"/>
        </w:rPr>
        <w:footnoteReference w:id="6"/>
      </w:r>
    </w:p>
    <w:p w14:paraId="4A68C405" w14:textId="18B6E66E" w:rsidR="004833C7" w:rsidRPr="000260BA" w:rsidRDefault="004833C7" w:rsidP="008F0250">
      <w:pPr>
        <w:rPr>
          <w:rFonts w:asciiTheme="majorHAnsi" w:hAnsiTheme="majorHAnsi" w:cstheme="majorHAnsi"/>
          <w:b/>
        </w:rPr>
      </w:pPr>
      <w:r w:rsidRPr="000260BA">
        <w:rPr>
          <w:rFonts w:asciiTheme="majorHAnsi" w:hAnsiTheme="majorHAnsi" w:cstheme="majorHAnsi"/>
          <w:b/>
          <w:sz w:val="32"/>
        </w:rPr>
        <w:t xml:space="preserve">Dandenong </w:t>
      </w:r>
      <w:proofErr w:type="spellStart"/>
      <w:r w:rsidRPr="000260BA">
        <w:rPr>
          <w:rFonts w:asciiTheme="majorHAnsi" w:hAnsiTheme="majorHAnsi" w:cstheme="majorHAnsi"/>
          <w:b/>
          <w:sz w:val="32"/>
        </w:rPr>
        <w:t>RSL</w:t>
      </w:r>
      <w:proofErr w:type="spellEnd"/>
      <w:r w:rsidRPr="000260BA">
        <w:rPr>
          <w:rFonts w:asciiTheme="majorHAnsi" w:hAnsiTheme="majorHAnsi" w:cstheme="majorHAnsi"/>
          <w:b/>
          <w:sz w:val="32"/>
        </w:rPr>
        <w:t xml:space="preserve"> Location</w:t>
      </w:r>
    </w:p>
    <w:p w14:paraId="74B41859" w14:textId="01D2F236" w:rsidR="004833C7" w:rsidRPr="000260BA" w:rsidRDefault="004833C7" w:rsidP="004833C7">
      <w:pPr>
        <w:rPr>
          <w:rFonts w:asciiTheme="majorHAnsi" w:hAnsiTheme="majorHAnsi" w:cstheme="majorHAnsi"/>
        </w:rPr>
      </w:pPr>
      <w:r w:rsidRPr="000260BA">
        <w:rPr>
          <w:rFonts w:asciiTheme="majorHAnsi" w:hAnsiTheme="majorHAnsi" w:cstheme="majorHAnsi"/>
        </w:rPr>
        <w:t xml:space="preserve">The location of the Dandenong </w:t>
      </w:r>
      <w:proofErr w:type="spellStart"/>
      <w:r w:rsidRPr="000260BA">
        <w:rPr>
          <w:rFonts w:asciiTheme="majorHAnsi" w:hAnsiTheme="majorHAnsi" w:cstheme="majorHAnsi"/>
        </w:rPr>
        <w:t>RSL</w:t>
      </w:r>
      <w:proofErr w:type="spellEnd"/>
      <w:r w:rsidRPr="000260BA">
        <w:rPr>
          <w:rFonts w:asciiTheme="majorHAnsi" w:hAnsiTheme="majorHAnsi" w:cstheme="majorHAnsi"/>
        </w:rPr>
        <w:t xml:space="preserve"> is of considerable concern. The venue shares a car park with Dandenong Plaza, where local families do their shopping. Community services are nearby such as the Southern Migrant and Refugee Centre, South East Community Links, Life without Barriers, Wellsprings, Brand New Day, Red Cross, AMES, Foundation House, Beyond Blue, Dandenong Maternal and Child Health Services, Dandenong Youth Hub and Dandenong Neighbourhood house. Dandenong Magistrates court is also close by. All of these services provide support to people in our community who experience some form of disadvantage or vulnerability. In addition to community services, Dandenong </w:t>
      </w:r>
      <w:proofErr w:type="spellStart"/>
      <w:r w:rsidRPr="000260BA">
        <w:rPr>
          <w:rFonts w:asciiTheme="majorHAnsi" w:hAnsiTheme="majorHAnsi" w:cstheme="majorHAnsi"/>
        </w:rPr>
        <w:t>RSL</w:t>
      </w:r>
      <w:proofErr w:type="spellEnd"/>
      <w:r w:rsidRPr="000260BA">
        <w:rPr>
          <w:rFonts w:asciiTheme="majorHAnsi" w:hAnsiTheme="majorHAnsi" w:cstheme="majorHAnsi"/>
        </w:rPr>
        <w:t xml:space="preserve"> is alarmingly close to Dandenong Primary School, and school children can see the </w:t>
      </w:r>
      <w:proofErr w:type="spellStart"/>
      <w:r w:rsidRPr="000260BA">
        <w:rPr>
          <w:rFonts w:asciiTheme="majorHAnsi" w:hAnsiTheme="majorHAnsi" w:cstheme="majorHAnsi"/>
        </w:rPr>
        <w:t>RSL</w:t>
      </w:r>
      <w:proofErr w:type="spellEnd"/>
      <w:r w:rsidRPr="000260BA">
        <w:rPr>
          <w:rFonts w:asciiTheme="majorHAnsi" w:hAnsiTheme="majorHAnsi" w:cstheme="majorHAnsi"/>
        </w:rPr>
        <w:t xml:space="preserve"> while they study and play. </w:t>
      </w:r>
      <w:r w:rsidR="002C4B5D">
        <w:rPr>
          <w:rFonts w:asciiTheme="majorHAnsi" w:hAnsiTheme="majorHAnsi" w:cstheme="majorHAnsi"/>
        </w:rPr>
        <w:t xml:space="preserve"> </w:t>
      </w:r>
    </w:p>
    <w:p w14:paraId="548203C4" w14:textId="3F7ECF89" w:rsidR="00B955B1" w:rsidRPr="000260BA" w:rsidRDefault="004833C7" w:rsidP="004833C7">
      <w:pPr>
        <w:rPr>
          <w:rFonts w:asciiTheme="majorHAnsi" w:hAnsiTheme="majorHAnsi" w:cstheme="majorHAnsi"/>
          <w:b/>
        </w:rPr>
      </w:pPr>
      <w:r w:rsidRPr="000260BA">
        <w:rPr>
          <w:rFonts w:asciiTheme="majorHAnsi" w:hAnsiTheme="majorHAnsi" w:cstheme="majorHAnsi"/>
          <w:b/>
          <w:sz w:val="32"/>
        </w:rPr>
        <w:t xml:space="preserve">Problem Gambling </w:t>
      </w:r>
    </w:p>
    <w:p w14:paraId="048A70EB" w14:textId="64EE7D32" w:rsidR="00595544" w:rsidRPr="000260BA" w:rsidRDefault="00595544" w:rsidP="004450C2">
      <w:pPr>
        <w:rPr>
          <w:rFonts w:asciiTheme="majorHAnsi" w:hAnsiTheme="majorHAnsi" w:cstheme="majorHAnsi"/>
        </w:rPr>
      </w:pPr>
      <w:r w:rsidRPr="000260BA">
        <w:rPr>
          <w:rFonts w:asciiTheme="majorHAnsi" w:hAnsiTheme="majorHAnsi" w:cstheme="majorHAnsi"/>
        </w:rPr>
        <w:t>The Productivity Commission estimates that costs such as suicide, depression, relationship breakdown, job loss, bankruptcy and crime are estimated to cost at least $4.7 billion</w:t>
      </w:r>
      <w:r w:rsidR="0017406B">
        <w:rPr>
          <w:rFonts w:asciiTheme="majorHAnsi" w:hAnsiTheme="majorHAnsi" w:cstheme="majorHAnsi"/>
        </w:rPr>
        <w:t xml:space="preserve"> </w:t>
      </w:r>
      <w:r w:rsidRPr="000260BA">
        <w:rPr>
          <w:rFonts w:asciiTheme="majorHAnsi" w:hAnsiTheme="majorHAnsi" w:cstheme="majorHAnsi"/>
        </w:rPr>
        <w:t>across Australia</w:t>
      </w:r>
      <w:r w:rsidR="0017406B">
        <w:rPr>
          <w:rFonts w:asciiTheme="majorHAnsi" w:hAnsiTheme="majorHAnsi" w:cstheme="majorHAnsi"/>
        </w:rPr>
        <w:t>,</w:t>
      </w:r>
      <w:r w:rsidR="0017406B" w:rsidRPr="000260BA">
        <w:rPr>
          <w:rStyle w:val="FootnoteReference"/>
          <w:rFonts w:asciiTheme="majorHAnsi" w:hAnsiTheme="majorHAnsi" w:cstheme="majorHAnsi"/>
        </w:rPr>
        <w:footnoteReference w:id="7"/>
      </w:r>
      <w:r w:rsidR="0017406B" w:rsidRPr="000260BA">
        <w:rPr>
          <w:rFonts w:asciiTheme="majorHAnsi" w:hAnsiTheme="majorHAnsi" w:cstheme="majorHAnsi"/>
        </w:rPr>
        <w:t xml:space="preserve"> </w:t>
      </w:r>
      <w:r w:rsidR="0083268D" w:rsidRPr="000260BA">
        <w:rPr>
          <w:rFonts w:asciiTheme="majorHAnsi" w:hAnsiTheme="majorHAnsi" w:cstheme="majorHAnsi"/>
        </w:rPr>
        <w:t>far outweighing any financial gains made by state and territory governments</w:t>
      </w:r>
      <w:r w:rsidR="0017406B">
        <w:rPr>
          <w:rFonts w:asciiTheme="majorHAnsi" w:hAnsiTheme="majorHAnsi" w:cstheme="majorHAnsi"/>
        </w:rPr>
        <w:t xml:space="preserve"> through gambling</w:t>
      </w:r>
      <w:r w:rsidRPr="000260BA">
        <w:rPr>
          <w:rFonts w:asciiTheme="majorHAnsi" w:hAnsiTheme="majorHAnsi" w:cstheme="majorHAnsi"/>
        </w:rPr>
        <w:t xml:space="preserve">. </w:t>
      </w:r>
      <w:r w:rsidR="0083268D" w:rsidRPr="000260BA">
        <w:rPr>
          <w:rStyle w:val="FootnoteReference"/>
          <w:rFonts w:asciiTheme="majorHAnsi" w:hAnsiTheme="majorHAnsi" w:cstheme="majorHAnsi"/>
        </w:rPr>
        <w:footnoteReference w:id="8"/>
      </w:r>
      <w:r w:rsidR="0083268D" w:rsidRPr="000260BA">
        <w:rPr>
          <w:rFonts w:asciiTheme="majorHAnsi" w:hAnsiTheme="majorHAnsi" w:cstheme="majorHAnsi"/>
        </w:rPr>
        <w:t xml:space="preserve"> </w:t>
      </w:r>
      <w:r w:rsidRPr="000260BA">
        <w:rPr>
          <w:rFonts w:asciiTheme="majorHAnsi" w:hAnsiTheme="majorHAnsi" w:cstheme="majorHAnsi"/>
        </w:rPr>
        <w:t xml:space="preserve">In Dandenong, </w:t>
      </w:r>
      <w:r w:rsidR="0083268D" w:rsidRPr="000260BA">
        <w:rPr>
          <w:rFonts w:asciiTheme="majorHAnsi" w:hAnsiTheme="majorHAnsi" w:cstheme="majorHAnsi"/>
        </w:rPr>
        <w:t xml:space="preserve">a community that has already been made vulnerable and considerably </w:t>
      </w:r>
      <w:r w:rsidRPr="000260BA">
        <w:rPr>
          <w:rFonts w:asciiTheme="majorHAnsi" w:hAnsiTheme="majorHAnsi" w:cstheme="majorHAnsi"/>
        </w:rPr>
        <w:t>disadvantage</w:t>
      </w:r>
      <w:r w:rsidR="0083268D" w:rsidRPr="000260BA">
        <w:rPr>
          <w:rFonts w:asciiTheme="majorHAnsi" w:hAnsiTheme="majorHAnsi" w:cstheme="majorHAnsi"/>
        </w:rPr>
        <w:t>d through successive government policy and generational poverty</w:t>
      </w:r>
      <w:r w:rsidRPr="000260BA">
        <w:rPr>
          <w:rFonts w:asciiTheme="majorHAnsi" w:hAnsiTheme="majorHAnsi" w:cstheme="majorHAnsi"/>
        </w:rPr>
        <w:t xml:space="preserve">, this impact is even more detrimental. </w:t>
      </w:r>
      <w:r w:rsidR="0083268D" w:rsidRPr="000260BA">
        <w:rPr>
          <w:rFonts w:asciiTheme="majorHAnsi" w:hAnsiTheme="majorHAnsi" w:cstheme="majorHAnsi"/>
        </w:rPr>
        <w:t>Research</w:t>
      </w:r>
      <w:r w:rsidRPr="000260BA">
        <w:rPr>
          <w:rFonts w:asciiTheme="majorHAnsi" w:hAnsiTheme="majorHAnsi" w:cstheme="majorHAnsi"/>
        </w:rPr>
        <w:t xml:space="preserve"> indicate</w:t>
      </w:r>
      <w:r w:rsidR="0083268D" w:rsidRPr="000260BA">
        <w:rPr>
          <w:rFonts w:asciiTheme="majorHAnsi" w:hAnsiTheme="majorHAnsi" w:cstheme="majorHAnsi"/>
        </w:rPr>
        <w:t xml:space="preserve">s that gambling related harm is </w:t>
      </w:r>
      <w:r w:rsidRPr="000260BA">
        <w:rPr>
          <w:rFonts w:asciiTheme="majorHAnsi" w:hAnsiTheme="majorHAnsi" w:cstheme="majorHAnsi"/>
        </w:rPr>
        <w:t xml:space="preserve">a social issue on ‘a similar order of magnitude to major depressive disorder and alcohol misuse and dependence’. </w:t>
      </w:r>
      <w:r w:rsidRPr="000260BA">
        <w:rPr>
          <w:rStyle w:val="FootnoteReference"/>
          <w:rFonts w:asciiTheme="majorHAnsi" w:hAnsiTheme="majorHAnsi" w:cstheme="majorHAnsi"/>
        </w:rPr>
        <w:footnoteReference w:id="9"/>
      </w:r>
      <w:r w:rsidR="0083268D" w:rsidRPr="000260BA">
        <w:rPr>
          <w:rFonts w:asciiTheme="majorHAnsi" w:hAnsiTheme="majorHAnsi" w:cstheme="majorHAnsi"/>
        </w:rPr>
        <w:t xml:space="preserve"> </w:t>
      </w:r>
    </w:p>
    <w:p w14:paraId="6FDB2FAC" w14:textId="62005AD3" w:rsidR="00595544" w:rsidRPr="000260BA" w:rsidRDefault="00B203EA" w:rsidP="004450C2">
      <w:pPr>
        <w:rPr>
          <w:rFonts w:asciiTheme="majorHAnsi" w:hAnsiTheme="majorHAnsi" w:cstheme="majorHAnsi"/>
        </w:rPr>
      </w:pPr>
      <w:r w:rsidRPr="000260BA">
        <w:rPr>
          <w:rFonts w:asciiTheme="majorHAnsi" w:hAnsiTheme="majorHAnsi" w:cstheme="majorHAnsi"/>
        </w:rPr>
        <w:t xml:space="preserve">Gambling causes significantly greater harm on families in Melbourne's more disadvantaged suburbs, than it does in wealthier areas. </w:t>
      </w:r>
      <w:r w:rsidRPr="000260BA">
        <w:rPr>
          <w:rStyle w:val="FootnoteReference"/>
          <w:rFonts w:asciiTheme="majorHAnsi" w:hAnsiTheme="majorHAnsi" w:cstheme="majorHAnsi"/>
        </w:rPr>
        <w:footnoteReference w:id="10"/>
      </w:r>
      <w:r w:rsidRPr="000260BA">
        <w:rPr>
          <w:rFonts w:asciiTheme="majorHAnsi" w:hAnsiTheme="majorHAnsi" w:cstheme="majorHAnsi"/>
        </w:rPr>
        <w:t xml:space="preserve"> In 2016-17, $118 million was lost to EGMs in Greater Dandenong</w:t>
      </w:r>
      <w:r w:rsidR="006F6FAD">
        <w:rPr>
          <w:rFonts w:asciiTheme="majorHAnsi" w:hAnsiTheme="majorHAnsi" w:cstheme="majorHAnsi"/>
        </w:rPr>
        <w:t xml:space="preserve">, $956 per </w:t>
      </w:r>
      <w:r w:rsidR="006F6FAD">
        <w:rPr>
          <w:rFonts w:asciiTheme="majorHAnsi" w:hAnsiTheme="majorHAnsi" w:cstheme="majorHAnsi"/>
        </w:rPr>
        <w:lastRenderedPageBreak/>
        <w:t>adult.</w:t>
      </w:r>
      <w:r w:rsidR="006F6FAD">
        <w:rPr>
          <w:rStyle w:val="FootnoteReference"/>
          <w:rFonts w:asciiTheme="majorHAnsi" w:hAnsiTheme="majorHAnsi" w:cstheme="majorHAnsi"/>
        </w:rPr>
        <w:footnoteReference w:id="11"/>
      </w:r>
      <w:r w:rsidR="006F6FAD">
        <w:rPr>
          <w:rFonts w:asciiTheme="majorHAnsi" w:hAnsiTheme="majorHAnsi" w:cstheme="majorHAnsi"/>
        </w:rPr>
        <w:t xml:space="preserve"> </w:t>
      </w:r>
      <w:r w:rsidRPr="000260BA">
        <w:rPr>
          <w:rFonts w:asciiTheme="majorHAnsi" w:hAnsiTheme="majorHAnsi" w:cstheme="majorHAnsi"/>
        </w:rPr>
        <w:t xml:space="preserve">The losses that the community of </w:t>
      </w:r>
      <w:r w:rsidR="008F0250">
        <w:rPr>
          <w:rFonts w:asciiTheme="majorHAnsi" w:hAnsiTheme="majorHAnsi" w:cstheme="majorHAnsi"/>
        </w:rPr>
        <w:t>the City of Greater Dandenong</w:t>
      </w:r>
      <w:r w:rsidR="005247CC">
        <w:rPr>
          <w:rFonts w:asciiTheme="majorHAnsi" w:hAnsiTheme="majorHAnsi" w:cstheme="majorHAnsi"/>
        </w:rPr>
        <w:t xml:space="preserve"> experience, </w:t>
      </w:r>
      <w:r w:rsidRPr="000260BA">
        <w:rPr>
          <w:rFonts w:asciiTheme="majorHAnsi" w:hAnsiTheme="majorHAnsi" w:cstheme="majorHAnsi"/>
        </w:rPr>
        <w:t xml:space="preserve">outweigh those of other </w:t>
      </w:r>
      <w:proofErr w:type="spellStart"/>
      <w:r w:rsidRPr="000260BA">
        <w:rPr>
          <w:rFonts w:asciiTheme="majorHAnsi" w:hAnsiTheme="majorHAnsi" w:cstheme="majorHAnsi"/>
        </w:rPr>
        <w:t>LGAs</w:t>
      </w:r>
      <w:proofErr w:type="spellEnd"/>
      <w:r w:rsidRPr="000260BA">
        <w:rPr>
          <w:rFonts w:asciiTheme="majorHAnsi" w:hAnsiTheme="majorHAnsi" w:cstheme="majorHAnsi"/>
        </w:rPr>
        <w:t xml:space="preserve">- in fact we experience the highest rate of EGM losses in Victoria. The </w:t>
      </w:r>
      <w:r w:rsidR="008F0250">
        <w:rPr>
          <w:rFonts w:asciiTheme="majorHAnsi" w:hAnsiTheme="majorHAnsi" w:cstheme="majorHAnsi"/>
        </w:rPr>
        <w:t>City of Greater Dandenong</w:t>
      </w:r>
      <w:r w:rsidRPr="000260BA">
        <w:rPr>
          <w:rFonts w:asciiTheme="majorHAnsi" w:hAnsiTheme="majorHAnsi" w:cstheme="majorHAnsi"/>
        </w:rPr>
        <w:t xml:space="preserve"> has the second highest number of pokies in any Victorian municipality, and represents almost 8 EGMs per 1,000 adults compared to the Victorian average of 5.5 per 1,000 </w:t>
      </w:r>
      <w:r w:rsidRPr="006F6FAD">
        <w:rPr>
          <w:rFonts w:asciiTheme="majorHAnsi" w:hAnsiTheme="majorHAnsi" w:cstheme="majorHAnsi"/>
        </w:rPr>
        <w:t>adults</w:t>
      </w:r>
      <w:r w:rsidR="005247CC">
        <w:rPr>
          <w:rFonts w:asciiTheme="majorHAnsi" w:hAnsiTheme="majorHAnsi" w:cstheme="majorHAnsi"/>
        </w:rPr>
        <w:t>.</w:t>
      </w:r>
      <w:r w:rsidR="006F6FAD">
        <w:rPr>
          <w:rStyle w:val="FootnoteReference"/>
          <w:rFonts w:asciiTheme="majorHAnsi" w:hAnsiTheme="majorHAnsi" w:cstheme="majorHAnsi"/>
        </w:rPr>
        <w:footnoteReference w:id="12"/>
      </w:r>
      <w:r w:rsidR="005247CC">
        <w:rPr>
          <w:rFonts w:asciiTheme="majorHAnsi" w:hAnsiTheme="majorHAnsi" w:cstheme="majorHAnsi"/>
        </w:rPr>
        <w:t xml:space="preserve"> Research</w:t>
      </w:r>
      <w:r w:rsidRPr="000260BA">
        <w:rPr>
          <w:rFonts w:asciiTheme="majorHAnsi" w:hAnsiTheme="majorHAnsi" w:cstheme="majorHAnsi"/>
        </w:rPr>
        <w:t xml:space="preserve"> demonstrates that people on lower incomes, those in unskilled work, the unemployed, and people of limited educational attainment suffer the highest gambling losses compared with people with more skilled occupations, higher incomes or educational attainments. </w:t>
      </w:r>
      <w:r w:rsidRPr="000260BA">
        <w:rPr>
          <w:rStyle w:val="FootnoteReference"/>
          <w:rFonts w:asciiTheme="majorHAnsi" w:hAnsiTheme="majorHAnsi" w:cstheme="majorHAnsi"/>
        </w:rPr>
        <w:footnoteReference w:id="13"/>
      </w:r>
      <w:r w:rsidR="004833C7" w:rsidRPr="000260BA">
        <w:rPr>
          <w:rFonts w:asciiTheme="majorHAnsi" w:hAnsiTheme="majorHAnsi" w:cstheme="majorHAnsi"/>
        </w:rPr>
        <w:t xml:space="preserve"> </w:t>
      </w:r>
    </w:p>
    <w:p w14:paraId="5636A00A" w14:textId="4690C17E" w:rsidR="001A2B8C" w:rsidRPr="000260BA" w:rsidRDefault="004450C2" w:rsidP="004450C2">
      <w:pPr>
        <w:rPr>
          <w:rFonts w:asciiTheme="majorHAnsi" w:hAnsiTheme="majorHAnsi" w:cstheme="majorHAnsi"/>
        </w:rPr>
      </w:pPr>
      <w:r w:rsidRPr="000260BA">
        <w:rPr>
          <w:rFonts w:asciiTheme="majorHAnsi" w:hAnsiTheme="majorHAnsi" w:cstheme="majorHAnsi"/>
        </w:rPr>
        <w:t>The prevalence of problem gambling increases with increasing density of EGMs</w:t>
      </w:r>
      <w:r w:rsidR="009E48BD" w:rsidRPr="000260BA">
        <w:rPr>
          <w:rFonts w:asciiTheme="majorHAnsi" w:hAnsiTheme="majorHAnsi" w:cstheme="majorHAnsi"/>
        </w:rPr>
        <w:t>.</w:t>
      </w:r>
      <w:r w:rsidR="009E48BD" w:rsidRPr="000260BA">
        <w:rPr>
          <w:rStyle w:val="FootnoteReference"/>
          <w:rFonts w:asciiTheme="majorHAnsi" w:hAnsiTheme="majorHAnsi" w:cstheme="majorHAnsi"/>
        </w:rPr>
        <w:t xml:space="preserve"> </w:t>
      </w:r>
      <w:r w:rsidR="009E48BD" w:rsidRPr="000260BA">
        <w:rPr>
          <w:rStyle w:val="FootnoteReference"/>
          <w:rFonts w:asciiTheme="majorHAnsi" w:hAnsiTheme="majorHAnsi" w:cstheme="majorHAnsi"/>
        </w:rPr>
        <w:footnoteReference w:id="14"/>
      </w:r>
      <w:r w:rsidRPr="000260BA">
        <w:rPr>
          <w:rFonts w:asciiTheme="majorHAnsi" w:hAnsiTheme="majorHAnsi" w:cstheme="majorHAnsi"/>
        </w:rPr>
        <w:t xml:space="preserve"> </w:t>
      </w:r>
      <w:r w:rsidR="0083268D" w:rsidRPr="000260BA">
        <w:rPr>
          <w:rFonts w:asciiTheme="majorHAnsi" w:hAnsiTheme="majorHAnsi" w:cstheme="majorHAnsi"/>
        </w:rPr>
        <w:t xml:space="preserve">Every increase </w:t>
      </w:r>
      <w:r w:rsidR="004C6D92" w:rsidRPr="000260BA">
        <w:rPr>
          <w:rFonts w:asciiTheme="majorHAnsi" w:hAnsiTheme="majorHAnsi" w:cstheme="majorHAnsi"/>
        </w:rPr>
        <w:t>in EGM numbers increase</w:t>
      </w:r>
      <w:r w:rsidRPr="000260BA">
        <w:rPr>
          <w:rFonts w:asciiTheme="majorHAnsi" w:hAnsiTheme="majorHAnsi" w:cstheme="majorHAnsi"/>
        </w:rPr>
        <w:t>s</w:t>
      </w:r>
      <w:r w:rsidR="004C6D92" w:rsidRPr="000260BA">
        <w:rPr>
          <w:rFonts w:asciiTheme="majorHAnsi" w:hAnsiTheme="majorHAnsi" w:cstheme="majorHAnsi"/>
        </w:rPr>
        <w:t xml:space="preserve"> their accessibility to the community</w:t>
      </w:r>
      <w:r w:rsidRPr="000260BA">
        <w:rPr>
          <w:rFonts w:asciiTheme="majorHAnsi" w:hAnsiTheme="majorHAnsi" w:cstheme="majorHAnsi"/>
        </w:rPr>
        <w:t xml:space="preserve">, and will </w:t>
      </w:r>
      <w:r w:rsidR="00CC5317" w:rsidRPr="000260BA">
        <w:rPr>
          <w:rFonts w:asciiTheme="majorHAnsi" w:hAnsiTheme="majorHAnsi" w:cstheme="majorHAnsi"/>
        </w:rPr>
        <w:t>therefore have a detrimental</w:t>
      </w:r>
      <w:r w:rsidRPr="000260BA">
        <w:rPr>
          <w:rFonts w:asciiTheme="majorHAnsi" w:hAnsiTheme="majorHAnsi" w:cstheme="majorHAnsi"/>
        </w:rPr>
        <w:t xml:space="preserve"> impact on</w:t>
      </w:r>
      <w:r w:rsidR="00B203EA" w:rsidRPr="000260BA">
        <w:rPr>
          <w:rFonts w:asciiTheme="majorHAnsi" w:hAnsiTheme="majorHAnsi" w:cstheme="majorHAnsi"/>
        </w:rPr>
        <w:t xml:space="preserve"> people experiencing</w:t>
      </w:r>
      <w:r w:rsidRPr="000260BA">
        <w:rPr>
          <w:rFonts w:asciiTheme="majorHAnsi" w:hAnsiTheme="majorHAnsi" w:cstheme="majorHAnsi"/>
        </w:rPr>
        <w:t xml:space="preserve"> problem gambling</w:t>
      </w:r>
      <w:r w:rsidR="009E48BD" w:rsidRPr="000260BA">
        <w:rPr>
          <w:rFonts w:asciiTheme="majorHAnsi" w:hAnsiTheme="majorHAnsi" w:cstheme="majorHAnsi"/>
        </w:rPr>
        <w:t xml:space="preserve"> in the local community</w:t>
      </w:r>
      <w:r w:rsidRPr="000260BA">
        <w:rPr>
          <w:rFonts w:asciiTheme="majorHAnsi" w:hAnsiTheme="majorHAnsi" w:cstheme="majorHAnsi"/>
        </w:rPr>
        <w:t xml:space="preserve">. </w:t>
      </w:r>
      <w:r w:rsidR="00DB0979">
        <w:rPr>
          <w:rFonts w:asciiTheme="majorHAnsi" w:hAnsiTheme="majorHAnsi" w:cstheme="majorHAnsi"/>
        </w:rPr>
        <w:t xml:space="preserve">Dandenong </w:t>
      </w:r>
      <w:proofErr w:type="spellStart"/>
      <w:r w:rsidR="00DB0979">
        <w:rPr>
          <w:rFonts w:asciiTheme="majorHAnsi" w:hAnsiTheme="majorHAnsi" w:cstheme="majorHAnsi"/>
        </w:rPr>
        <w:t>RSL</w:t>
      </w:r>
      <w:proofErr w:type="spellEnd"/>
      <w:r w:rsidR="00DB0979">
        <w:rPr>
          <w:rFonts w:asciiTheme="majorHAnsi" w:hAnsiTheme="majorHAnsi" w:cstheme="majorHAnsi"/>
        </w:rPr>
        <w:t xml:space="preserve">, as a particularly visible and accessible venue contributes to this.  </w:t>
      </w:r>
    </w:p>
    <w:p w14:paraId="40F0B2BA" w14:textId="77777777" w:rsidR="005247CC" w:rsidRDefault="005247CC" w:rsidP="009A2D7E">
      <w:pPr>
        <w:rPr>
          <w:rFonts w:asciiTheme="majorHAnsi" w:hAnsiTheme="majorHAnsi" w:cstheme="majorHAnsi"/>
        </w:rPr>
      </w:pPr>
      <w:r w:rsidRPr="000260BA">
        <w:rPr>
          <w:rFonts w:asciiTheme="majorHAnsi" w:hAnsiTheme="majorHAnsi" w:cstheme="majorHAnsi"/>
        </w:rPr>
        <w:t xml:space="preserve">It is clear that disadvantage and vulnerability (such as generational poverty, trauma, mental health issues, family violence or substance abuse) can contribute to and compound gambling harm. </w:t>
      </w:r>
      <w:r w:rsidR="009A2D7E" w:rsidRPr="000260BA">
        <w:rPr>
          <w:rFonts w:asciiTheme="majorHAnsi" w:hAnsiTheme="majorHAnsi" w:cstheme="majorHAnsi"/>
        </w:rPr>
        <w:t xml:space="preserve">Communities such as ours, already among the most vulnerable in Victoria, are experiencing further harm by greater exposure to gambling opportunities. </w:t>
      </w:r>
      <w:r>
        <w:rPr>
          <w:rFonts w:asciiTheme="majorHAnsi" w:hAnsiTheme="majorHAnsi" w:cstheme="majorHAnsi"/>
        </w:rPr>
        <w:t xml:space="preserve"> </w:t>
      </w:r>
    </w:p>
    <w:p w14:paraId="1E722F4F" w14:textId="6D0561E9" w:rsidR="00852D7B" w:rsidRPr="000260BA" w:rsidRDefault="005247CC" w:rsidP="009A2D7E">
      <w:pPr>
        <w:rPr>
          <w:rFonts w:asciiTheme="majorHAnsi" w:hAnsiTheme="majorHAnsi" w:cstheme="majorHAnsi"/>
        </w:rPr>
      </w:pPr>
      <w:r w:rsidRPr="000260BA">
        <w:rPr>
          <w:rFonts w:asciiTheme="majorHAnsi" w:hAnsiTheme="majorHAnsi" w:cstheme="majorHAnsi"/>
        </w:rPr>
        <w:t xml:space="preserve">Despite knowing the harms that this will perpetrate on the community, Dandenong </w:t>
      </w:r>
      <w:proofErr w:type="spellStart"/>
      <w:r w:rsidRPr="000260BA">
        <w:rPr>
          <w:rFonts w:asciiTheme="majorHAnsi" w:hAnsiTheme="majorHAnsi" w:cstheme="majorHAnsi"/>
        </w:rPr>
        <w:t>RSL</w:t>
      </w:r>
      <w:proofErr w:type="spellEnd"/>
      <w:r w:rsidRPr="000260BA">
        <w:rPr>
          <w:rFonts w:asciiTheme="majorHAnsi" w:hAnsiTheme="majorHAnsi" w:cstheme="majorHAnsi"/>
        </w:rPr>
        <w:t xml:space="preserve"> is choosing profit over people, and willingly contributing to the increase of disadvantage and gambling related harm to a community that is already under significant pressure. </w:t>
      </w:r>
      <w:r>
        <w:rPr>
          <w:rFonts w:asciiTheme="majorHAnsi" w:hAnsiTheme="majorHAnsi" w:cstheme="majorHAnsi"/>
        </w:rPr>
        <w:t xml:space="preserve"> </w:t>
      </w:r>
    </w:p>
    <w:p w14:paraId="6C72D295" w14:textId="044AD9A8" w:rsidR="004833C7" w:rsidRPr="000260BA" w:rsidRDefault="004833C7" w:rsidP="00BE7F14">
      <w:pPr>
        <w:rPr>
          <w:rFonts w:asciiTheme="majorHAnsi" w:hAnsiTheme="majorHAnsi" w:cstheme="majorHAnsi"/>
        </w:rPr>
      </w:pPr>
      <w:r w:rsidRPr="000260BA">
        <w:rPr>
          <w:rFonts w:asciiTheme="majorHAnsi" w:hAnsiTheme="majorHAnsi" w:cstheme="majorHAnsi"/>
          <w:b/>
          <w:sz w:val="32"/>
        </w:rPr>
        <w:t xml:space="preserve">Gambling Related Harm in Our Community </w:t>
      </w:r>
    </w:p>
    <w:p w14:paraId="74112B9C" w14:textId="742A5C4A" w:rsidR="008F4F2C" w:rsidRPr="000260BA" w:rsidRDefault="004833C7" w:rsidP="0092776E">
      <w:pPr>
        <w:rPr>
          <w:rFonts w:asciiTheme="majorHAnsi" w:hAnsiTheme="majorHAnsi" w:cstheme="majorHAnsi"/>
        </w:rPr>
      </w:pPr>
      <w:r w:rsidRPr="000260BA">
        <w:rPr>
          <w:rFonts w:asciiTheme="majorHAnsi" w:hAnsiTheme="majorHAnsi" w:cstheme="majorHAnsi"/>
        </w:rPr>
        <w:t>Gambling related harm has been described as ‘a</w:t>
      </w:r>
      <w:r w:rsidR="00BE7F14" w:rsidRPr="000260BA">
        <w:rPr>
          <w:rFonts w:asciiTheme="majorHAnsi" w:hAnsiTheme="majorHAnsi" w:cstheme="majorHAnsi"/>
        </w:rPr>
        <w:t xml:space="preserve">ny initial or exacerbated adverse consequence due to an engagement with gambling that leads to a </w:t>
      </w:r>
      <w:r w:rsidRPr="000260BA">
        <w:rPr>
          <w:rFonts w:asciiTheme="majorHAnsi" w:hAnsiTheme="majorHAnsi" w:cstheme="majorHAnsi"/>
        </w:rPr>
        <w:t>detriment</w:t>
      </w:r>
      <w:r w:rsidR="00BE7F14" w:rsidRPr="000260BA">
        <w:rPr>
          <w:rFonts w:asciiTheme="majorHAnsi" w:hAnsiTheme="majorHAnsi" w:cstheme="majorHAnsi"/>
        </w:rPr>
        <w:t xml:space="preserve"> to the health or wellbeing of an individual, family unit, community or population</w:t>
      </w:r>
      <w:r w:rsidRPr="000260BA">
        <w:rPr>
          <w:rFonts w:asciiTheme="majorHAnsi" w:hAnsiTheme="majorHAnsi" w:cstheme="majorHAnsi"/>
        </w:rPr>
        <w:t>’</w:t>
      </w:r>
      <w:r w:rsidRPr="000260BA">
        <w:rPr>
          <w:rStyle w:val="FootnoteReference"/>
          <w:rFonts w:asciiTheme="majorHAnsi" w:hAnsiTheme="majorHAnsi" w:cstheme="majorHAnsi"/>
        </w:rPr>
        <w:footnoteReference w:id="15"/>
      </w:r>
      <w:r w:rsidRPr="000260BA">
        <w:rPr>
          <w:rFonts w:asciiTheme="majorHAnsi" w:hAnsiTheme="majorHAnsi" w:cstheme="majorHAnsi"/>
        </w:rPr>
        <w:t xml:space="preserve">, and requires a public health approach to address these harms. </w:t>
      </w:r>
    </w:p>
    <w:p w14:paraId="4F61708B" w14:textId="50BFDE3E" w:rsidR="006F7B3F" w:rsidRPr="000260BA" w:rsidRDefault="00555D05" w:rsidP="006F7B3F">
      <w:pPr>
        <w:rPr>
          <w:rFonts w:asciiTheme="majorHAnsi" w:hAnsiTheme="majorHAnsi" w:cstheme="majorHAnsi"/>
        </w:rPr>
      </w:pPr>
      <w:r w:rsidRPr="000260BA">
        <w:rPr>
          <w:rFonts w:asciiTheme="majorHAnsi" w:hAnsiTheme="majorHAnsi" w:cstheme="majorHAnsi"/>
        </w:rPr>
        <w:t>The</w:t>
      </w:r>
      <w:r w:rsidR="006F7B3F" w:rsidRPr="000260BA">
        <w:rPr>
          <w:rFonts w:asciiTheme="majorHAnsi" w:hAnsiTheme="majorHAnsi" w:cstheme="majorHAnsi"/>
        </w:rPr>
        <w:t xml:space="preserve"> </w:t>
      </w:r>
      <w:r w:rsidR="004833C7" w:rsidRPr="000260BA">
        <w:rPr>
          <w:rFonts w:asciiTheme="majorHAnsi" w:hAnsiTheme="majorHAnsi" w:cstheme="majorHAnsi"/>
        </w:rPr>
        <w:t>total</w:t>
      </w:r>
      <w:r w:rsidR="006F7B3F" w:rsidRPr="000260BA">
        <w:rPr>
          <w:rFonts w:asciiTheme="majorHAnsi" w:hAnsiTheme="majorHAnsi" w:cstheme="majorHAnsi"/>
        </w:rPr>
        <w:t xml:space="preserve"> economic and social impact of </w:t>
      </w:r>
      <w:r w:rsidR="004833C7" w:rsidRPr="000260BA">
        <w:rPr>
          <w:rFonts w:asciiTheme="majorHAnsi" w:hAnsiTheme="majorHAnsi" w:cstheme="majorHAnsi"/>
        </w:rPr>
        <w:t xml:space="preserve">the new EGMs </w:t>
      </w:r>
      <w:r w:rsidRPr="000260BA">
        <w:rPr>
          <w:rFonts w:asciiTheme="majorHAnsi" w:hAnsiTheme="majorHAnsi" w:cstheme="majorHAnsi"/>
        </w:rPr>
        <w:t>must</w:t>
      </w:r>
      <w:r w:rsidR="006F7B3F" w:rsidRPr="000260BA">
        <w:rPr>
          <w:rFonts w:asciiTheme="majorHAnsi" w:hAnsiTheme="majorHAnsi" w:cstheme="majorHAnsi"/>
        </w:rPr>
        <w:t xml:space="preserve"> not be detrimental to the well-being of the community </w:t>
      </w:r>
      <w:r w:rsidRPr="000260BA">
        <w:rPr>
          <w:rFonts w:asciiTheme="majorHAnsi" w:hAnsiTheme="majorHAnsi" w:cstheme="majorHAnsi"/>
        </w:rPr>
        <w:t>where the venue is located. 2010 estimates indicate that 4% of the population gamble on EGM’s at least once per week.</w:t>
      </w:r>
      <w:r w:rsidR="00AC1A2A" w:rsidRPr="000260BA">
        <w:rPr>
          <w:rFonts w:asciiTheme="majorHAnsi" w:hAnsiTheme="majorHAnsi" w:cstheme="majorHAnsi"/>
        </w:rPr>
        <w:t xml:space="preserve">  </w:t>
      </w:r>
      <w:r w:rsidR="00AC1A2A" w:rsidRPr="000260BA">
        <w:rPr>
          <w:rStyle w:val="FootnoteReference"/>
          <w:rFonts w:asciiTheme="majorHAnsi" w:hAnsiTheme="majorHAnsi" w:cstheme="majorHAnsi"/>
        </w:rPr>
        <w:footnoteReference w:id="16"/>
      </w:r>
      <w:r w:rsidRPr="000260BA">
        <w:rPr>
          <w:rFonts w:asciiTheme="majorHAnsi" w:hAnsiTheme="majorHAnsi" w:cstheme="majorHAnsi"/>
        </w:rPr>
        <w:t xml:space="preserve"> Of the people who are playing every week, almost one in three (30%) are either problem gamblers or moderate risk gamblers. </w:t>
      </w:r>
    </w:p>
    <w:p w14:paraId="75C95E4C" w14:textId="51282721" w:rsidR="006B7007" w:rsidRDefault="006F7B3F" w:rsidP="00E81E6A">
      <w:pPr>
        <w:rPr>
          <w:rFonts w:asciiTheme="majorHAnsi" w:hAnsiTheme="majorHAnsi" w:cstheme="majorHAnsi"/>
        </w:rPr>
      </w:pPr>
      <w:r w:rsidRPr="000260BA">
        <w:rPr>
          <w:rFonts w:asciiTheme="majorHAnsi" w:hAnsiTheme="majorHAnsi" w:cstheme="majorHAnsi"/>
        </w:rPr>
        <w:t xml:space="preserve">Losses on EGM’s by problem gamblers are estimated by the Productivity Commission at 40%, with a further 20% from moderate risk gamblers. In the </w:t>
      </w:r>
      <w:r w:rsidR="008F0250">
        <w:rPr>
          <w:rFonts w:asciiTheme="majorHAnsi" w:hAnsiTheme="majorHAnsi" w:cstheme="majorHAnsi"/>
        </w:rPr>
        <w:t>City of Greater Dandenong</w:t>
      </w:r>
      <w:r w:rsidRPr="000260BA">
        <w:rPr>
          <w:rFonts w:asciiTheme="majorHAnsi" w:hAnsiTheme="majorHAnsi" w:cstheme="majorHAnsi"/>
        </w:rPr>
        <w:t xml:space="preserve">, this means </w:t>
      </w:r>
      <w:r w:rsidR="00AC1A2A" w:rsidRPr="000260BA">
        <w:rPr>
          <w:rFonts w:asciiTheme="majorHAnsi" w:hAnsiTheme="majorHAnsi" w:cstheme="majorHAnsi"/>
        </w:rPr>
        <w:t>almost</w:t>
      </w:r>
      <w:r w:rsidRPr="000260BA">
        <w:rPr>
          <w:rFonts w:asciiTheme="majorHAnsi" w:hAnsiTheme="majorHAnsi" w:cstheme="majorHAnsi"/>
        </w:rPr>
        <w:t xml:space="preserve"> $</w:t>
      </w:r>
      <w:r w:rsidR="00AC1A2A" w:rsidRPr="000260BA">
        <w:rPr>
          <w:rFonts w:asciiTheme="majorHAnsi" w:hAnsiTheme="majorHAnsi" w:cstheme="majorHAnsi"/>
        </w:rPr>
        <w:t xml:space="preserve">80 million was </w:t>
      </w:r>
      <w:r w:rsidRPr="000260BA">
        <w:rPr>
          <w:rFonts w:asciiTheme="majorHAnsi" w:hAnsiTheme="majorHAnsi" w:cstheme="majorHAnsi"/>
        </w:rPr>
        <w:t>generated</w:t>
      </w:r>
      <w:r w:rsidR="00AC1A2A" w:rsidRPr="000260BA">
        <w:rPr>
          <w:rFonts w:asciiTheme="majorHAnsi" w:hAnsiTheme="majorHAnsi" w:cstheme="majorHAnsi"/>
        </w:rPr>
        <w:t xml:space="preserve"> </w:t>
      </w:r>
      <w:r w:rsidRPr="000260BA">
        <w:rPr>
          <w:rFonts w:asciiTheme="majorHAnsi" w:hAnsiTheme="majorHAnsi" w:cstheme="majorHAnsi"/>
        </w:rPr>
        <w:t>from people having problems with their gambling</w:t>
      </w:r>
      <w:r w:rsidR="00AC1A2A" w:rsidRPr="000260BA">
        <w:rPr>
          <w:rFonts w:asciiTheme="majorHAnsi" w:hAnsiTheme="majorHAnsi" w:cstheme="majorHAnsi"/>
        </w:rPr>
        <w:t xml:space="preserve"> last year</w:t>
      </w:r>
      <w:r w:rsidRPr="000260BA">
        <w:rPr>
          <w:rFonts w:asciiTheme="majorHAnsi" w:hAnsiTheme="majorHAnsi" w:cstheme="majorHAnsi"/>
        </w:rPr>
        <w:t xml:space="preserve">. </w:t>
      </w:r>
      <w:r w:rsidR="00211151" w:rsidRPr="000260BA">
        <w:rPr>
          <w:rStyle w:val="FootnoteReference"/>
          <w:rFonts w:asciiTheme="majorHAnsi" w:hAnsiTheme="majorHAnsi" w:cstheme="majorHAnsi"/>
        </w:rPr>
        <w:footnoteReference w:id="17"/>
      </w:r>
    </w:p>
    <w:p w14:paraId="68642ACE" w14:textId="51E8E0BA" w:rsidR="007D5E99" w:rsidRDefault="007D5E99" w:rsidP="00E81E6A">
      <w:pPr>
        <w:rPr>
          <w:rFonts w:asciiTheme="majorHAnsi" w:hAnsiTheme="majorHAnsi" w:cstheme="majorHAnsi"/>
        </w:rPr>
      </w:pPr>
      <w:r w:rsidRPr="007D5E99">
        <w:rPr>
          <w:rFonts w:asciiTheme="majorHAnsi" w:hAnsiTheme="majorHAnsi" w:cstheme="majorHAnsi"/>
        </w:rPr>
        <w:lastRenderedPageBreak/>
        <w:t xml:space="preserve">Children </w:t>
      </w:r>
      <w:r>
        <w:rPr>
          <w:rFonts w:asciiTheme="majorHAnsi" w:hAnsiTheme="majorHAnsi" w:cstheme="majorHAnsi"/>
        </w:rPr>
        <w:t>are deeply impacted</w:t>
      </w:r>
      <w:r w:rsidRPr="007D5E99">
        <w:rPr>
          <w:rFonts w:asciiTheme="majorHAnsi" w:hAnsiTheme="majorHAnsi" w:cstheme="majorHAnsi"/>
        </w:rPr>
        <w:t xml:space="preserve"> by adult gambling losses</w:t>
      </w:r>
      <w:r w:rsidR="00394569">
        <w:rPr>
          <w:rFonts w:asciiTheme="majorHAnsi" w:hAnsiTheme="majorHAnsi" w:cstheme="majorHAnsi"/>
        </w:rPr>
        <w:t>.</w:t>
      </w:r>
      <w:r>
        <w:rPr>
          <w:rStyle w:val="FootnoteReference"/>
          <w:rFonts w:asciiTheme="majorHAnsi" w:hAnsiTheme="majorHAnsi" w:cstheme="majorHAnsi"/>
        </w:rPr>
        <w:footnoteReference w:id="18"/>
      </w:r>
      <w:r w:rsidRPr="007D5E99">
        <w:rPr>
          <w:rFonts w:asciiTheme="majorHAnsi" w:hAnsiTheme="majorHAnsi" w:cstheme="majorHAnsi"/>
        </w:rPr>
        <w:t xml:space="preserve"> </w:t>
      </w:r>
      <w:r>
        <w:rPr>
          <w:rFonts w:asciiTheme="majorHAnsi" w:hAnsiTheme="majorHAnsi" w:cstheme="majorHAnsi"/>
        </w:rPr>
        <w:t xml:space="preserve">The impact is both physical and </w:t>
      </w:r>
      <w:r w:rsidRPr="007D5E99">
        <w:rPr>
          <w:rFonts w:asciiTheme="majorHAnsi" w:hAnsiTheme="majorHAnsi" w:cstheme="majorHAnsi"/>
        </w:rPr>
        <w:t xml:space="preserve">psychosocial. </w:t>
      </w:r>
      <w:r>
        <w:rPr>
          <w:rFonts w:asciiTheme="majorHAnsi" w:hAnsiTheme="majorHAnsi" w:cstheme="majorHAnsi"/>
        </w:rPr>
        <w:t>Studies have shown that feelings of abandonment</w:t>
      </w:r>
      <w:r w:rsidRPr="007D5E99">
        <w:rPr>
          <w:rFonts w:asciiTheme="majorHAnsi" w:hAnsiTheme="majorHAnsi" w:cstheme="majorHAnsi"/>
        </w:rPr>
        <w:t>,</w:t>
      </w:r>
      <w:r>
        <w:rPr>
          <w:rFonts w:asciiTheme="majorHAnsi" w:hAnsiTheme="majorHAnsi" w:cstheme="majorHAnsi"/>
        </w:rPr>
        <w:t xml:space="preserve"> loss of</w:t>
      </w:r>
      <w:r w:rsidRPr="007D5E99">
        <w:rPr>
          <w:rFonts w:asciiTheme="majorHAnsi" w:hAnsiTheme="majorHAnsi" w:cstheme="majorHAnsi"/>
        </w:rPr>
        <w:t xml:space="preserve"> trust, security, sense of home, emotional deprivation, poor role modelling, destructive behaviour problems, inadequate stress management skills, poor interpersonal relations, diminished coping abilities, greater risk of negative health outcomes, and psychological disruption due to the chaotic and unpredictable environment within the home</w:t>
      </w:r>
      <w:r>
        <w:rPr>
          <w:rFonts w:asciiTheme="majorHAnsi" w:hAnsiTheme="majorHAnsi" w:cstheme="majorHAnsi"/>
        </w:rPr>
        <w:t xml:space="preserve"> can occur when children have a parent who experiences problem gambling</w:t>
      </w:r>
      <w:r w:rsidRPr="007D5E99">
        <w:rPr>
          <w:rFonts w:asciiTheme="majorHAnsi" w:hAnsiTheme="majorHAnsi" w:cstheme="majorHAnsi"/>
        </w:rPr>
        <w:t xml:space="preserve">. </w:t>
      </w:r>
      <w:r>
        <w:rPr>
          <w:rFonts w:asciiTheme="majorHAnsi" w:hAnsiTheme="majorHAnsi" w:cstheme="majorHAnsi"/>
        </w:rPr>
        <w:t>It also impacts their educational outcomes and</w:t>
      </w:r>
      <w:r w:rsidR="00DB0979">
        <w:rPr>
          <w:rFonts w:asciiTheme="majorHAnsi" w:hAnsiTheme="majorHAnsi" w:cstheme="majorHAnsi"/>
        </w:rPr>
        <w:t xml:space="preserve"> they</w:t>
      </w:r>
      <w:r>
        <w:rPr>
          <w:rFonts w:asciiTheme="majorHAnsi" w:hAnsiTheme="majorHAnsi" w:cstheme="majorHAnsi"/>
        </w:rPr>
        <w:t xml:space="preserve"> can become </w:t>
      </w:r>
      <w:r w:rsidRPr="007D5E99">
        <w:rPr>
          <w:rFonts w:asciiTheme="majorHAnsi" w:hAnsiTheme="majorHAnsi" w:cstheme="majorHAnsi"/>
        </w:rPr>
        <w:t>socially isolated because they cannot attend normal social events</w:t>
      </w:r>
      <w:r w:rsidR="00394569">
        <w:rPr>
          <w:rFonts w:asciiTheme="majorHAnsi" w:hAnsiTheme="majorHAnsi" w:cstheme="majorHAnsi"/>
        </w:rPr>
        <w:t>.</w:t>
      </w:r>
      <w:r>
        <w:rPr>
          <w:rStyle w:val="FootnoteReference"/>
          <w:rFonts w:asciiTheme="majorHAnsi" w:hAnsiTheme="majorHAnsi" w:cstheme="majorHAnsi"/>
        </w:rPr>
        <w:footnoteReference w:id="19"/>
      </w:r>
      <w:r>
        <w:rPr>
          <w:rFonts w:asciiTheme="majorHAnsi" w:hAnsiTheme="majorHAnsi" w:cstheme="majorHAnsi"/>
        </w:rPr>
        <w:t xml:space="preserve"> </w:t>
      </w:r>
      <w:r w:rsidR="00DB0979">
        <w:rPr>
          <w:rFonts w:asciiTheme="majorHAnsi" w:hAnsiTheme="majorHAnsi" w:cstheme="majorHAnsi"/>
        </w:rPr>
        <w:t xml:space="preserve">Increasing the number of EGMs in Dandenong will increase the harms felt by children in our community. </w:t>
      </w:r>
    </w:p>
    <w:p w14:paraId="7C434CDE" w14:textId="00D54337" w:rsidR="00142434" w:rsidRPr="000260BA" w:rsidRDefault="00DB0979" w:rsidP="00BE7F14">
      <w:pPr>
        <w:rPr>
          <w:rFonts w:asciiTheme="majorHAnsi" w:hAnsiTheme="majorHAnsi" w:cstheme="majorHAnsi"/>
          <w:b/>
        </w:rPr>
      </w:pPr>
      <w:r>
        <w:rPr>
          <w:rFonts w:asciiTheme="majorHAnsi" w:hAnsiTheme="majorHAnsi" w:cstheme="majorHAnsi"/>
          <w:b/>
          <w:sz w:val="32"/>
        </w:rPr>
        <w:t xml:space="preserve">Challenges Facing </w:t>
      </w:r>
      <w:r w:rsidR="00142434" w:rsidRPr="000260BA">
        <w:rPr>
          <w:rFonts w:asciiTheme="majorHAnsi" w:hAnsiTheme="majorHAnsi" w:cstheme="majorHAnsi"/>
          <w:b/>
          <w:sz w:val="32"/>
        </w:rPr>
        <w:t xml:space="preserve">Greater Dandenong </w:t>
      </w:r>
    </w:p>
    <w:p w14:paraId="6899B46B" w14:textId="3CE8E93E" w:rsidR="00BE7F14" w:rsidRPr="000260BA" w:rsidRDefault="00BE7F14" w:rsidP="00BE7F14">
      <w:pPr>
        <w:rPr>
          <w:rFonts w:asciiTheme="majorHAnsi" w:hAnsiTheme="majorHAnsi" w:cstheme="majorHAnsi"/>
        </w:rPr>
      </w:pPr>
      <w:r w:rsidRPr="000260BA">
        <w:rPr>
          <w:rFonts w:asciiTheme="majorHAnsi" w:hAnsiTheme="majorHAnsi" w:cstheme="majorHAnsi"/>
        </w:rPr>
        <w:t xml:space="preserve">MENTAL HEALTH </w:t>
      </w:r>
    </w:p>
    <w:p w14:paraId="6CFEACEB" w14:textId="4A178B90" w:rsidR="00BE7F14" w:rsidRPr="000260BA" w:rsidRDefault="005F1766" w:rsidP="00743385">
      <w:pPr>
        <w:rPr>
          <w:rFonts w:asciiTheme="majorHAnsi" w:hAnsiTheme="majorHAnsi" w:cstheme="majorHAnsi"/>
        </w:rPr>
      </w:pPr>
      <w:r w:rsidRPr="000260BA">
        <w:rPr>
          <w:rFonts w:asciiTheme="majorHAnsi" w:hAnsiTheme="majorHAnsi" w:cstheme="majorHAnsi"/>
        </w:rPr>
        <w:t xml:space="preserve">Increasing the number of EGMs in the </w:t>
      </w:r>
      <w:r w:rsidR="008F0250">
        <w:rPr>
          <w:rFonts w:asciiTheme="majorHAnsi" w:hAnsiTheme="majorHAnsi" w:cstheme="majorHAnsi"/>
        </w:rPr>
        <w:t>City of Greater Dandenong</w:t>
      </w:r>
      <w:r w:rsidRPr="000260BA">
        <w:rPr>
          <w:rFonts w:asciiTheme="majorHAnsi" w:hAnsiTheme="majorHAnsi" w:cstheme="majorHAnsi"/>
        </w:rPr>
        <w:t xml:space="preserve"> will compound the negative impacts </w:t>
      </w:r>
      <w:r w:rsidR="00341383" w:rsidRPr="000260BA">
        <w:rPr>
          <w:rFonts w:asciiTheme="majorHAnsi" w:hAnsiTheme="majorHAnsi" w:cstheme="majorHAnsi"/>
        </w:rPr>
        <w:t>of</w:t>
      </w:r>
      <w:r w:rsidRPr="000260BA">
        <w:rPr>
          <w:rFonts w:asciiTheme="majorHAnsi" w:hAnsiTheme="majorHAnsi" w:cstheme="majorHAnsi"/>
        </w:rPr>
        <w:t xml:space="preserve"> mental health issues </w:t>
      </w:r>
      <w:r w:rsidR="00341383" w:rsidRPr="000260BA">
        <w:rPr>
          <w:rFonts w:asciiTheme="majorHAnsi" w:hAnsiTheme="majorHAnsi" w:cstheme="majorHAnsi"/>
        </w:rPr>
        <w:t>in the community.</w:t>
      </w:r>
      <w:r w:rsidR="00211151" w:rsidRPr="000260BA">
        <w:rPr>
          <w:rFonts w:asciiTheme="majorHAnsi" w:hAnsiTheme="majorHAnsi" w:cstheme="majorHAnsi"/>
        </w:rPr>
        <w:t xml:space="preserve"> </w:t>
      </w:r>
      <w:r w:rsidRPr="000260BA">
        <w:rPr>
          <w:rFonts w:asciiTheme="majorHAnsi" w:hAnsiTheme="majorHAnsi" w:cstheme="majorHAnsi"/>
        </w:rPr>
        <w:t xml:space="preserve">In addition to the mental health related harms experienced by people with a gambling problem, </w:t>
      </w:r>
      <w:r w:rsidR="00743385" w:rsidRPr="000260BA">
        <w:rPr>
          <w:rFonts w:asciiTheme="majorHAnsi" w:hAnsiTheme="majorHAnsi" w:cstheme="majorHAnsi"/>
        </w:rPr>
        <w:t xml:space="preserve">many people experiencing mental health </w:t>
      </w:r>
      <w:r w:rsidRPr="000260BA">
        <w:rPr>
          <w:rFonts w:asciiTheme="majorHAnsi" w:hAnsiTheme="majorHAnsi" w:cstheme="majorHAnsi"/>
        </w:rPr>
        <w:t xml:space="preserve">problems or with drug dependency issues </w:t>
      </w:r>
      <w:r w:rsidR="00687EAB" w:rsidRPr="000260BA">
        <w:rPr>
          <w:rFonts w:asciiTheme="majorHAnsi" w:hAnsiTheme="majorHAnsi" w:cstheme="majorHAnsi"/>
        </w:rPr>
        <w:t xml:space="preserve">may be </w:t>
      </w:r>
      <w:r w:rsidR="00341383" w:rsidRPr="000260BA">
        <w:rPr>
          <w:rFonts w:asciiTheme="majorHAnsi" w:hAnsiTheme="majorHAnsi" w:cstheme="majorHAnsi"/>
        </w:rPr>
        <w:t xml:space="preserve">more </w:t>
      </w:r>
      <w:r w:rsidR="00687EAB" w:rsidRPr="000260BA">
        <w:rPr>
          <w:rFonts w:asciiTheme="majorHAnsi" w:hAnsiTheme="majorHAnsi" w:cstheme="majorHAnsi"/>
        </w:rPr>
        <w:t xml:space="preserve">susceptible to </w:t>
      </w:r>
      <w:r w:rsidR="00743385" w:rsidRPr="000260BA">
        <w:rPr>
          <w:rFonts w:asciiTheme="majorHAnsi" w:hAnsiTheme="majorHAnsi" w:cstheme="majorHAnsi"/>
        </w:rPr>
        <w:t>gambling problems</w:t>
      </w:r>
      <w:r w:rsidRPr="000260BA">
        <w:rPr>
          <w:rFonts w:asciiTheme="majorHAnsi" w:hAnsiTheme="majorHAnsi" w:cstheme="majorHAnsi"/>
        </w:rPr>
        <w:t xml:space="preserve">. </w:t>
      </w:r>
      <w:r w:rsidRPr="000260BA">
        <w:rPr>
          <w:rStyle w:val="FootnoteReference"/>
          <w:rFonts w:asciiTheme="majorHAnsi" w:hAnsiTheme="majorHAnsi" w:cstheme="majorHAnsi"/>
        </w:rPr>
        <w:footnoteReference w:id="20"/>
      </w:r>
      <w:r w:rsidR="00341383" w:rsidRPr="000260BA">
        <w:rPr>
          <w:rFonts w:asciiTheme="majorHAnsi" w:hAnsiTheme="majorHAnsi" w:cstheme="majorHAnsi"/>
        </w:rPr>
        <w:t xml:space="preserve"> Studies have found that </w:t>
      </w:r>
      <w:r w:rsidR="00687EAB" w:rsidRPr="000260BA">
        <w:rPr>
          <w:rFonts w:asciiTheme="majorHAnsi" w:hAnsiTheme="majorHAnsi" w:cstheme="majorHAnsi"/>
        </w:rPr>
        <w:t xml:space="preserve">people with </w:t>
      </w:r>
      <w:r w:rsidR="00743385" w:rsidRPr="000260BA">
        <w:rPr>
          <w:rFonts w:asciiTheme="majorHAnsi" w:hAnsiTheme="majorHAnsi" w:cstheme="majorHAnsi"/>
        </w:rPr>
        <w:t>gambling</w:t>
      </w:r>
      <w:r w:rsidR="00687EAB" w:rsidRPr="000260BA">
        <w:rPr>
          <w:rFonts w:asciiTheme="majorHAnsi" w:hAnsiTheme="majorHAnsi" w:cstheme="majorHAnsi"/>
        </w:rPr>
        <w:t xml:space="preserve"> related </w:t>
      </w:r>
      <w:r w:rsidR="00743385" w:rsidRPr="000260BA">
        <w:rPr>
          <w:rFonts w:asciiTheme="majorHAnsi" w:hAnsiTheme="majorHAnsi" w:cstheme="majorHAnsi"/>
        </w:rPr>
        <w:t xml:space="preserve">problems were </w:t>
      </w:r>
      <w:r w:rsidR="00341383" w:rsidRPr="000260BA">
        <w:rPr>
          <w:rFonts w:asciiTheme="majorHAnsi" w:hAnsiTheme="majorHAnsi" w:cstheme="majorHAnsi"/>
        </w:rPr>
        <w:t>much</w:t>
      </w:r>
      <w:r w:rsidR="00743385" w:rsidRPr="000260BA">
        <w:rPr>
          <w:rFonts w:asciiTheme="majorHAnsi" w:hAnsiTheme="majorHAnsi" w:cstheme="majorHAnsi"/>
        </w:rPr>
        <w:t xml:space="preserve"> more likely than others to </w:t>
      </w:r>
      <w:r w:rsidR="00341383" w:rsidRPr="000260BA">
        <w:rPr>
          <w:rFonts w:asciiTheme="majorHAnsi" w:hAnsiTheme="majorHAnsi" w:cstheme="majorHAnsi"/>
        </w:rPr>
        <w:t>face depression</w:t>
      </w:r>
      <w:r w:rsidR="00743385" w:rsidRPr="000260BA">
        <w:rPr>
          <w:rFonts w:asciiTheme="majorHAnsi" w:hAnsiTheme="majorHAnsi" w:cstheme="majorHAnsi"/>
        </w:rPr>
        <w:t xml:space="preserve"> or to </w:t>
      </w:r>
      <w:r w:rsidR="00341383" w:rsidRPr="000260BA">
        <w:rPr>
          <w:rFonts w:asciiTheme="majorHAnsi" w:hAnsiTheme="majorHAnsi" w:cstheme="majorHAnsi"/>
        </w:rPr>
        <w:t xml:space="preserve">engage in problematic </w:t>
      </w:r>
      <w:r w:rsidR="00743385" w:rsidRPr="000260BA">
        <w:rPr>
          <w:rFonts w:asciiTheme="majorHAnsi" w:hAnsiTheme="majorHAnsi" w:cstheme="majorHAnsi"/>
        </w:rPr>
        <w:t>a</w:t>
      </w:r>
      <w:r w:rsidR="00687EAB" w:rsidRPr="000260BA">
        <w:rPr>
          <w:rFonts w:asciiTheme="majorHAnsi" w:hAnsiTheme="majorHAnsi" w:cstheme="majorHAnsi"/>
        </w:rPr>
        <w:t xml:space="preserve">lcohol or other drug </w:t>
      </w:r>
      <w:r w:rsidR="00341383" w:rsidRPr="000260BA">
        <w:rPr>
          <w:rFonts w:asciiTheme="majorHAnsi" w:hAnsiTheme="majorHAnsi" w:cstheme="majorHAnsi"/>
        </w:rPr>
        <w:t xml:space="preserve">use. </w:t>
      </w:r>
      <w:r w:rsidR="00341383" w:rsidRPr="000260BA">
        <w:rPr>
          <w:rStyle w:val="FootnoteReference"/>
          <w:rFonts w:asciiTheme="majorHAnsi" w:hAnsiTheme="majorHAnsi" w:cstheme="majorHAnsi"/>
        </w:rPr>
        <w:footnoteReference w:id="21"/>
      </w:r>
      <w:r w:rsidR="00DB0979" w:rsidRPr="000260BA">
        <w:rPr>
          <w:rFonts w:asciiTheme="majorHAnsi" w:hAnsiTheme="majorHAnsi" w:cstheme="majorHAnsi"/>
        </w:rPr>
        <w:t xml:space="preserve"> It has been estimated that 11.5% of problem gamblers reported that they had seriously considered or attempted suicide, compared with 1.1% of non-problem gamblers. </w:t>
      </w:r>
      <w:r w:rsidR="00DB0979" w:rsidRPr="000260BA">
        <w:rPr>
          <w:rStyle w:val="FootnoteReference"/>
          <w:rFonts w:asciiTheme="majorHAnsi" w:hAnsiTheme="majorHAnsi" w:cstheme="majorHAnsi"/>
        </w:rPr>
        <w:footnoteReference w:id="22"/>
      </w:r>
      <w:r w:rsidR="00367055">
        <w:rPr>
          <w:rFonts w:asciiTheme="majorHAnsi" w:hAnsiTheme="majorHAnsi" w:cstheme="majorHAnsi"/>
        </w:rPr>
        <w:t xml:space="preserve"> </w:t>
      </w:r>
    </w:p>
    <w:p w14:paraId="2D1B7F7C" w14:textId="0451FD57" w:rsidR="007345EC" w:rsidRPr="000260BA" w:rsidRDefault="00341383" w:rsidP="007345EC">
      <w:pPr>
        <w:rPr>
          <w:rFonts w:asciiTheme="majorHAnsi" w:hAnsiTheme="majorHAnsi" w:cstheme="majorHAnsi"/>
        </w:rPr>
      </w:pPr>
      <w:r w:rsidRPr="000260BA">
        <w:rPr>
          <w:rFonts w:asciiTheme="majorHAnsi" w:hAnsiTheme="majorHAnsi" w:cstheme="majorHAnsi"/>
        </w:rPr>
        <w:t xml:space="preserve">In the </w:t>
      </w:r>
      <w:r w:rsidR="008F0250">
        <w:rPr>
          <w:rFonts w:asciiTheme="majorHAnsi" w:hAnsiTheme="majorHAnsi" w:cstheme="majorHAnsi"/>
        </w:rPr>
        <w:t>City of Greater Dandenong</w:t>
      </w:r>
      <w:r w:rsidRPr="000260BA">
        <w:rPr>
          <w:rFonts w:asciiTheme="majorHAnsi" w:hAnsiTheme="majorHAnsi" w:cstheme="majorHAnsi"/>
        </w:rPr>
        <w:t xml:space="preserve">, our community already faces </w:t>
      </w:r>
      <w:r w:rsidR="003E1844" w:rsidRPr="000260BA">
        <w:rPr>
          <w:rFonts w:asciiTheme="majorHAnsi" w:hAnsiTheme="majorHAnsi" w:cstheme="majorHAnsi"/>
        </w:rPr>
        <w:t>high levels of mental illness and drug dependence, with one of the highest rates of psychological distress</w:t>
      </w:r>
      <w:r w:rsidR="00E26D34" w:rsidRPr="000260BA">
        <w:rPr>
          <w:rFonts w:asciiTheme="majorHAnsi" w:hAnsiTheme="majorHAnsi" w:cstheme="majorHAnsi"/>
        </w:rPr>
        <w:t xml:space="preserve"> </w:t>
      </w:r>
      <w:r w:rsidR="00D41B6A" w:rsidRPr="000260BA">
        <w:rPr>
          <w:rFonts w:asciiTheme="majorHAnsi" w:hAnsiTheme="majorHAnsi" w:cstheme="majorHAnsi"/>
        </w:rPr>
        <w:t xml:space="preserve">in the state. </w:t>
      </w:r>
      <w:r w:rsidR="00D41B6A" w:rsidRPr="000260BA">
        <w:rPr>
          <w:rStyle w:val="FootnoteReference"/>
          <w:rFonts w:asciiTheme="majorHAnsi" w:hAnsiTheme="majorHAnsi" w:cstheme="majorHAnsi"/>
        </w:rPr>
        <w:footnoteReference w:id="23"/>
      </w:r>
      <w:r w:rsidR="00D41B6A" w:rsidRPr="000260BA">
        <w:rPr>
          <w:rFonts w:asciiTheme="majorHAnsi" w:hAnsiTheme="majorHAnsi" w:cstheme="majorHAnsi"/>
        </w:rPr>
        <w:t xml:space="preserve"> Our resilience scores are less than the Melbourne average, in fact the lowest score in Victoria. </w:t>
      </w:r>
      <w:r w:rsidR="00D41B6A" w:rsidRPr="000260BA">
        <w:rPr>
          <w:rStyle w:val="FootnoteReference"/>
          <w:rFonts w:asciiTheme="majorHAnsi" w:hAnsiTheme="majorHAnsi" w:cstheme="majorHAnsi"/>
        </w:rPr>
        <w:footnoteReference w:id="24"/>
      </w:r>
      <w:r w:rsidR="00D41B6A" w:rsidRPr="000260BA">
        <w:rPr>
          <w:rFonts w:asciiTheme="majorHAnsi" w:hAnsiTheme="majorHAnsi" w:cstheme="majorHAnsi"/>
        </w:rPr>
        <w:t xml:space="preserve"> </w:t>
      </w:r>
      <w:r w:rsidR="007345EC" w:rsidRPr="000260BA">
        <w:rPr>
          <w:rFonts w:asciiTheme="majorHAnsi" w:hAnsiTheme="majorHAnsi" w:cstheme="majorHAnsi"/>
        </w:rPr>
        <w:t xml:space="preserve">Levels of illicit drug-related ambulance attendances, hospital admissions and drug treatment episodes among Greater Dandenong residents are higher than average Victorian levels. </w:t>
      </w:r>
      <w:r w:rsidR="007345EC" w:rsidRPr="000260BA">
        <w:rPr>
          <w:rStyle w:val="FootnoteReference"/>
          <w:rFonts w:asciiTheme="majorHAnsi" w:hAnsiTheme="majorHAnsi" w:cstheme="majorHAnsi"/>
        </w:rPr>
        <w:footnoteReference w:id="25"/>
      </w:r>
      <w:r w:rsidR="00B00B6F" w:rsidRPr="000260BA">
        <w:rPr>
          <w:rFonts w:asciiTheme="majorHAnsi" w:hAnsiTheme="majorHAnsi" w:cstheme="majorHAnsi"/>
        </w:rPr>
        <w:t xml:space="preserve"> </w:t>
      </w:r>
    </w:p>
    <w:p w14:paraId="3D2BB1EB" w14:textId="55D06AA9" w:rsidR="008F4F2C" w:rsidRPr="000260BA" w:rsidRDefault="00D41B6A" w:rsidP="00BE7F14">
      <w:pPr>
        <w:rPr>
          <w:rFonts w:asciiTheme="majorHAnsi" w:hAnsiTheme="majorHAnsi" w:cstheme="majorHAnsi"/>
        </w:rPr>
      </w:pPr>
      <w:r w:rsidRPr="000260BA">
        <w:rPr>
          <w:rFonts w:asciiTheme="majorHAnsi" w:hAnsiTheme="majorHAnsi" w:cstheme="majorHAnsi"/>
        </w:rPr>
        <w:t xml:space="preserve">SOCIO ECONOMIC STATUS </w:t>
      </w:r>
      <w:r w:rsidR="0092776E" w:rsidRPr="000260BA">
        <w:rPr>
          <w:rFonts w:asciiTheme="majorHAnsi" w:hAnsiTheme="majorHAnsi" w:cstheme="majorHAnsi"/>
        </w:rPr>
        <w:t xml:space="preserve"> </w:t>
      </w:r>
    </w:p>
    <w:p w14:paraId="257C3277" w14:textId="0096012A" w:rsidR="00CD79FD" w:rsidRPr="000260BA" w:rsidRDefault="00367055" w:rsidP="00D400FB">
      <w:pPr>
        <w:rPr>
          <w:rFonts w:asciiTheme="majorHAnsi" w:hAnsiTheme="majorHAnsi" w:cstheme="majorHAnsi"/>
        </w:rPr>
      </w:pPr>
      <w:r>
        <w:rPr>
          <w:rFonts w:asciiTheme="majorHAnsi" w:hAnsiTheme="majorHAnsi" w:cstheme="majorHAnsi"/>
        </w:rPr>
        <w:t>The</w:t>
      </w:r>
      <w:r w:rsidR="008F0250">
        <w:rPr>
          <w:rFonts w:asciiTheme="majorHAnsi" w:hAnsiTheme="majorHAnsi" w:cstheme="majorHAnsi"/>
        </w:rPr>
        <w:t xml:space="preserve"> City of Greater Dandenong</w:t>
      </w:r>
      <w:r w:rsidR="00205CE8" w:rsidRPr="000260BA">
        <w:rPr>
          <w:rFonts w:asciiTheme="majorHAnsi" w:hAnsiTheme="majorHAnsi" w:cstheme="majorHAnsi"/>
        </w:rPr>
        <w:t xml:space="preserve"> is a community facing a high level of financial disadvantage, and increasing the number of EGMs will exasperate the harms faced by people who are already struggling. </w:t>
      </w:r>
      <w:r w:rsidR="00D400FB" w:rsidRPr="000260BA">
        <w:rPr>
          <w:rFonts w:asciiTheme="majorHAnsi" w:hAnsiTheme="majorHAnsi" w:cstheme="majorHAnsi"/>
        </w:rPr>
        <w:t xml:space="preserve">A report from the </w:t>
      </w:r>
      <w:r w:rsidR="00CD79FD" w:rsidRPr="000260BA">
        <w:rPr>
          <w:rFonts w:asciiTheme="majorHAnsi" w:hAnsiTheme="majorHAnsi" w:cstheme="majorHAnsi"/>
        </w:rPr>
        <w:t xml:space="preserve">Australian Gambling Research Centre encapsulates the </w:t>
      </w:r>
      <w:r w:rsidR="00C74FB9" w:rsidRPr="000260BA">
        <w:rPr>
          <w:rFonts w:asciiTheme="majorHAnsi" w:hAnsiTheme="majorHAnsi" w:cstheme="majorHAnsi"/>
        </w:rPr>
        <w:t xml:space="preserve">issue: </w:t>
      </w:r>
      <w:r w:rsidR="00CD79FD" w:rsidRPr="000260BA">
        <w:rPr>
          <w:rStyle w:val="FootnoteReference"/>
          <w:rFonts w:asciiTheme="majorHAnsi" w:hAnsiTheme="majorHAnsi" w:cstheme="majorHAnsi"/>
        </w:rPr>
        <w:footnoteReference w:id="26"/>
      </w:r>
    </w:p>
    <w:p w14:paraId="1EAC0577" w14:textId="25AC6DC4" w:rsidR="00CD79FD" w:rsidRPr="000260BA" w:rsidRDefault="00CD79FD" w:rsidP="00D400FB">
      <w:pPr>
        <w:rPr>
          <w:rFonts w:asciiTheme="majorHAnsi" w:hAnsiTheme="majorHAnsi" w:cstheme="majorHAnsi"/>
        </w:rPr>
      </w:pPr>
      <w:r w:rsidRPr="000260BA">
        <w:rPr>
          <w:rFonts w:asciiTheme="majorHAnsi" w:hAnsiTheme="majorHAnsi" w:cstheme="majorHAnsi"/>
          <w:noProof/>
          <w:lang w:eastAsia="en-AU"/>
        </w:rPr>
        <w:lastRenderedPageBreak/>
        <mc:AlternateContent>
          <mc:Choice Requires="wps">
            <w:drawing>
              <wp:anchor distT="45720" distB="45720" distL="114300" distR="114300" simplePos="0" relativeHeight="251662336" behindDoc="0" locked="0" layoutInCell="1" allowOverlap="1" wp14:anchorId="407FEE48" wp14:editId="4464ADA2">
                <wp:simplePos x="0" y="0"/>
                <wp:positionH relativeFrom="column">
                  <wp:posOffset>267335</wp:posOffset>
                </wp:positionH>
                <wp:positionV relativeFrom="paragraph">
                  <wp:posOffset>43696</wp:posOffset>
                </wp:positionV>
                <wp:extent cx="5062855" cy="802005"/>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2855" cy="802005"/>
                        </a:xfrm>
                        <a:prstGeom prst="rect">
                          <a:avLst/>
                        </a:prstGeom>
                        <a:solidFill>
                          <a:srgbClr val="FFFFFF"/>
                        </a:solidFill>
                        <a:ln w="9525">
                          <a:noFill/>
                          <a:miter lim="800000"/>
                          <a:headEnd/>
                          <a:tailEnd/>
                        </a:ln>
                      </wps:spPr>
                      <wps:txbx>
                        <w:txbxContent>
                          <w:p w14:paraId="759F2E52" w14:textId="273CAB04" w:rsidR="00CD79FD" w:rsidRPr="00CD79FD" w:rsidRDefault="00CD79FD" w:rsidP="00CD79FD">
                            <w:pPr>
                              <w:spacing w:after="0"/>
                              <w:rPr>
                                <w:rFonts w:asciiTheme="majorHAnsi" w:hAnsiTheme="majorHAnsi" w:cstheme="majorHAnsi"/>
                                <w:i/>
                                <w:sz w:val="20"/>
                              </w:rPr>
                            </w:pPr>
                            <w:r>
                              <w:rPr>
                                <w:rFonts w:asciiTheme="majorHAnsi" w:hAnsiTheme="majorHAnsi" w:cstheme="majorHAnsi"/>
                                <w:i/>
                                <w:sz w:val="20"/>
                              </w:rPr>
                              <w:t>“</w:t>
                            </w:r>
                            <w:r w:rsidR="00C74FB9" w:rsidRPr="00CD79FD">
                              <w:rPr>
                                <w:rFonts w:asciiTheme="majorHAnsi" w:hAnsiTheme="majorHAnsi" w:cstheme="majorHAnsi"/>
                                <w:i/>
                                <w:sz w:val="20"/>
                              </w:rPr>
                              <w:t>Socioeconomic</w:t>
                            </w:r>
                            <w:r w:rsidRPr="00CD79FD">
                              <w:rPr>
                                <w:rFonts w:asciiTheme="majorHAnsi" w:hAnsiTheme="majorHAnsi" w:cstheme="majorHAnsi"/>
                                <w:i/>
                                <w:sz w:val="20"/>
                              </w:rPr>
                              <w:t xml:space="preserve"> disadvantage […] magnifies the harm from gambling. For example, one gambler</w:t>
                            </w:r>
                            <w:r>
                              <w:rPr>
                                <w:rFonts w:asciiTheme="majorHAnsi" w:hAnsiTheme="majorHAnsi" w:cstheme="majorHAnsi"/>
                                <w:i/>
                                <w:sz w:val="20"/>
                              </w:rPr>
                              <w:t xml:space="preserve"> </w:t>
                            </w:r>
                            <w:r w:rsidRPr="00CD79FD">
                              <w:rPr>
                                <w:rFonts w:asciiTheme="majorHAnsi" w:hAnsiTheme="majorHAnsi" w:cstheme="majorHAnsi"/>
                                <w:i/>
                                <w:sz w:val="20"/>
                              </w:rPr>
                              <w:t>in the east said losses meant their family had to go without repairing</w:t>
                            </w:r>
                            <w:r>
                              <w:rPr>
                                <w:rFonts w:asciiTheme="majorHAnsi" w:hAnsiTheme="majorHAnsi" w:cstheme="majorHAnsi"/>
                                <w:i/>
                                <w:sz w:val="20"/>
                              </w:rPr>
                              <w:t xml:space="preserve"> the dishwasher for six months, </w:t>
                            </w:r>
                            <w:r w:rsidRPr="00CD79FD">
                              <w:rPr>
                                <w:rFonts w:asciiTheme="majorHAnsi" w:hAnsiTheme="majorHAnsi" w:cstheme="majorHAnsi"/>
                                <w:i/>
                                <w:sz w:val="20"/>
                              </w:rPr>
                              <w:t xml:space="preserve">while several gamblers in the west said gambling losses meant they </w:t>
                            </w:r>
                            <w:r>
                              <w:rPr>
                                <w:rFonts w:asciiTheme="majorHAnsi" w:hAnsiTheme="majorHAnsi" w:cstheme="majorHAnsi"/>
                                <w:i/>
                                <w:sz w:val="20"/>
                              </w:rPr>
                              <w:t xml:space="preserve">literally could not afford food </w:t>
                            </w:r>
                            <w:r w:rsidRPr="00CD79FD">
                              <w:rPr>
                                <w:rFonts w:asciiTheme="majorHAnsi" w:hAnsiTheme="majorHAnsi" w:cstheme="majorHAnsi"/>
                                <w:i/>
                                <w:sz w:val="20"/>
                              </w:rPr>
                              <w:t>for their children</w:t>
                            </w:r>
                            <w:r>
                              <w:rPr>
                                <w:rFonts w:asciiTheme="majorHAnsi" w:hAnsiTheme="majorHAnsi" w:cstheme="majorHAnsi"/>
                                <w: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FEE48" id="_x0000_t202" coordsize="21600,21600" o:spt="202" path="m,l,21600r21600,l21600,xe">
                <v:stroke joinstyle="miter"/>
                <v:path gradientshapeok="t" o:connecttype="rect"/>
              </v:shapetype>
              <v:shape id="Text Box 2" o:spid="_x0000_s1026" type="#_x0000_t202" style="position:absolute;margin-left:21.05pt;margin-top:3.45pt;width:398.65pt;height:6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" stroked="f">
                <v:textbox>
                  <w:txbxContent>
                    <w:p w14:paraId="759F2E52" w14:textId="273CAB04" w:rsidR="00CD79FD" w:rsidRPr="00CD79FD" w:rsidRDefault="00CD79FD" w:rsidP="00CD79FD">
                      <w:pPr>
                        <w:spacing w:after="0"/>
                        <w:rPr>
                          <w:rFonts w:asciiTheme="majorHAnsi" w:hAnsiTheme="majorHAnsi" w:cstheme="majorHAnsi"/>
                          <w:i/>
                          <w:sz w:val="20"/>
                        </w:rPr>
                      </w:pPr>
                      <w:r>
                        <w:rPr>
                          <w:rFonts w:asciiTheme="majorHAnsi" w:hAnsiTheme="majorHAnsi" w:cstheme="majorHAnsi"/>
                          <w:i/>
                          <w:sz w:val="20"/>
                        </w:rPr>
                        <w:t>“</w:t>
                      </w:r>
                      <w:r w:rsidR="00C74FB9" w:rsidRPr="00CD79FD">
                        <w:rPr>
                          <w:rFonts w:asciiTheme="majorHAnsi" w:hAnsiTheme="majorHAnsi" w:cstheme="majorHAnsi"/>
                          <w:i/>
                          <w:sz w:val="20"/>
                        </w:rPr>
                        <w:t>Socioeconomic</w:t>
                      </w:r>
                      <w:r w:rsidRPr="00CD79FD">
                        <w:rPr>
                          <w:rFonts w:asciiTheme="majorHAnsi" w:hAnsiTheme="majorHAnsi" w:cstheme="majorHAnsi"/>
                          <w:i/>
                          <w:sz w:val="20"/>
                        </w:rPr>
                        <w:t xml:space="preserve"> disadvantage […] magnifies the harm from gambling. For example, one gambler</w:t>
                      </w:r>
                      <w:r>
                        <w:rPr>
                          <w:rFonts w:asciiTheme="majorHAnsi" w:hAnsiTheme="majorHAnsi" w:cstheme="majorHAnsi"/>
                          <w:i/>
                          <w:sz w:val="20"/>
                        </w:rPr>
                        <w:t xml:space="preserve"> </w:t>
                      </w:r>
                      <w:r w:rsidRPr="00CD79FD">
                        <w:rPr>
                          <w:rFonts w:asciiTheme="majorHAnsi" w:hAnsiTheme="majorHAnsi" w:cstheme="majorHAnsi"/>
                          <w:i/>
                          <w:sz w:val="20"/>
                        </w:rPr>
                        <w:t>in the east said losses meant their family had to go without repairing</w:t>
                      </w:r>
                      <w:r>
                        <w:rPr>
                          <w:rFonts w:asciiTheme="majorHAnsi" w:hAnsiTheme="majorHAnsi" w:cstheme="majorHAnsi"/>
                          <w:i/>
                          <w:sz w:val="20"/>
                        </w:rPr>
                        <w:t xml:space="preserve"> the dishwasher for six months, </w:t>
                      </w:r>
                      <w:r w:rsidRPr="00CD79FD">
                        <w:rPr>
                          <w:rFonts w:asciiTheme="majorHAnsi" w:hAnsiTheme="majorHAnsi" w:cstheme="majorHAnsi"/>
                          <w:i/>
                          <w:sz w:val="20"/>
                        </w:rPr>
                        <w:t xml:space="preserve">while several gamblers in the west said gambling losses meant they </w:t>
                      </w:r>
                      <w:r>
                        <w:rPr>
                          <w:rFonts w:asciiTheme="majorHAnsi" w:hAnsiTheme="majorHAnsi" w:cstheme="majorHAnsi"/>
                          <w:i/>
                          <w:sz w:val="20"/>
                        </w:rPr>
                        <w:t xml:space="preserve">literally could not afford food </w:t>
                      </w:r>
                      <w:r w:rsidRPr="00CD79FD">
                        <w:rPr>
                          <w:rFonts w:asciiTheme="majorHAnsi" w:hAnsiTheme="majorHAnsi" w:cstheme="majorHAnsi"/>
                          <w:i/>
                          <w:sz w:val="20"/>
                        </w:rPr>
                        <w:t>for their children</w:t>
                      </w:r>
                      <w:r>
                        <w:rPr>
                          <w:rFonts w:asciiTheme="majorHAnsi" w:hAnsiTheme="majorHAnsi" w:cstheme="majorHAnsi"/>
                          <w:i/>
                          <w:sz w:val="20"/>
                        </w:rPr>
                        <w:t>”</w:t>
                      </w:r>
                    </w:p>
                  </w:txbxContent>
                </v:textbox>
                <w10:wrap type="square"/>
              </v:shape>
            </w:pict>
          </mc:Fallback>
        </mc:AlternateContent>
      </w:r>
    </w:p>
    <w:p w14:paraId="485A7A3A" w14:textId="153176EF" w:rsidR="00CD79FD" w:rsidRPr="000260BA" w:rsidRDefault="00CD79FD" w:rsidP="00D400FB">
      <w:pPr>
        <w:rPr>
          <w:rFonts w:asciiTheme="majorHAnsi" w:hAnsiTheme="majorHAnsi" w:cstheme="majorHAnsi"/>
        </w:rPr>
      </w:pPr>
    </w:p>
    <w:p w14:paraId="520FCE4C" w14:textId="77777777" w:rsidR="00CD79FD" w:rsidRPr="000260BA" w:rsidRDefault="00CD79FD" w:rsidP="00D400FB">
      <w:pPr>
        <w:rPr>
          <w:rFonts w:asciiTheme="majorHAnsi" w:hAnsiTheme="majorHAnsi" w:cstheme="majorHAnsi"/>
        </w:rPr>
      </w:pPr>
    </w:p>
    <w:p w14:paraId="5DB8DA0F" w14:textId="16A9544C" w:rsidR="00205CE8" w:rsidRPr="000260BA" w:rsidRDefault="00205CE8" w:rsidP="00CD79FD">
      <w:pPr>
        <w:spacing w:after="0"/>
        <w:rPr>
          <w:rFonts w:asciiTheme="majorHAnsi" w:hAnsiTheme="majorHAnsi" w:cstheme="majorHAnsi"/>
          <w:i/>
          <w:sz w:val="20"/>
        </w:rPr>
      </w:pPr>
    </w:p>
    <w:p w14:paraId="106E716D" w14:textId="15B7543E" w:rsidR="00D41B6A" w:rsidRPr="000260BA" w:rsidRDefault="00CD79FD" w:rsidP="00142434">
      <w:pPr>
        <w:rPr>
          <w:rFonts w:asciiTheme="majorHAnsi" w:hAnsiTheme="majorHAnsi" w:cstheme="majorHAnsi"/>
        </w:rPr>
      </w:pPr>
      <w:r w:rsidRPr="000260BA">
        <w:rPr>
          <w:rFonts w:asciiTheme="majorHAnsi" w:hAnsiTheme="majorHAnsi" w:cstheme="majorHAnsi"/>
        </w:rPr>
        <w:t xml:space="preserve">Despite being a reference to western suburbs, the significance of this statement is true for our community. </w:t>
      </w:r>
      <w:r w:rsidR="00D41B6A" w:rsidRPr="000260BA">
        <w:rPr>
          <w:rFonts w:asciiTheme="majorHAnsi" w:hAnsiTheme="majorHAnsi" w:cstheme="majorHAnsi"/>
        </w:rPr>
        <w:t xml:space="preserve">In 2016, the median individual weekly income in Greater Dandenong </w:t>
      </w:r>
      <w:r w:rsidRPr="000260BA">
        <w:rPr>
          <w:rFonts w:asciiTheme="majorHAnsi" w:hAnsiTheme="majorHAnsi" w:cstheme="majorHAnsi"/>
        </w:rPr>
        <w:t>the lowest in Melbourne, only</w:t>
      </w:r>
      <w:r w:rsidR="00D41B6A" w:rsidRPr="000260BA">
        <w:rPr>
          <w:rFonts w:asciiTheme="majorHAnsi" w:hAnsiTheme="majorHAnsi" w:cstheme="majorHAnsi"/>
        </w:rPr>
        <w:t xml:space="preserve"> $476.</w:t>
      </w:r>
      <w:r w:rsidR="00142434" w:rsidRPr="000260BA">
        <w:rPr>
          <w:rFonts w:asciiTheme="majorHAnsi" w:hAnsiTheme="majorHAnsi" w:cstheme="majorHAnsi"/>
        </w:rPr>
        <w:t xml:space="preserve"> </w:t>
      </w:r>
      <w:r w:rsidR="00071B09" w:rsidRPr="000260BA">
        <w:rPr>
          <w:rFonts w:asciiTheme="majorHAnsi" w:hAnsiTheme="majorHAnsi" w:cstheme="majorHAnsi"/>
        </w:rPr>
        <w:t>Also, i</w:t>
      </w:r>
      <w:r w:rsidR="00142434" w:rsidRPr="000260BA">
        <w:rPr>
          <w:rFonts w:asciiTheme="majorHAnsi" w:hAnsiTheme="majorHAnsi" w:cstheme="majorHAnsi"/>
        </w:rPr>
        <w:t xml:space="preserve">n 2016, 31% of families with children in Greater Dandenong had no </w:t>
      </w:r>
      <w:r w:rsidR="00071B09" w:rsidRPr="000260BA">
        <w:rPr>
          <w:rFonts w:asciiTheme="majorHAnsi" w:hAnsiTheme="majorHAnsi" w:cstheme="majorHAnsi"/>
        </w:rPr>
        <w:t xml:space="preserve">parent in paid employment, also </w:t>
      </w:r>
      <w:r w:rsidR="00142434" w:rsidRPr="000260BA">
        <w:rPr>
          <w:rFonts w:asciiTheme="majorHAnsi" w:hAnsiTheme="majorHAnsi" w:cstheme="majorHAnsi"/>
        </w:rPr>
        <w:t xml:space="preserve">the highest level </w:t>
      </w:r>
      <w:r w:rsidR="00071B09" w:rsidRPr="000260BA">
        <w:rPr>
          <w:rFonts w:asciiTheme="majorHAnsi" w:hAnsiTheme="majorHAnsi" w:cstheme="majorHAnsi"/>
        </w:rPr>
        <w:t>in metropolitan Melbourne. Our community has the third highest number of H</w:t>
      </w:r>
      <w:r w:rsidR="00142434" w:rsidRPr="000260BA">
        <w:rPr>
          <w:rFonts w:asciiTheme="majorHAnsi" w:hAnsiTheme="majorHAnsi" w:cstheme="majorHAnsi"/>
        </w:rPr>
        <w:t>ealth Care Card holders</w:t>
      </w:r>
      <w:r w:rsidR="00071B09" w:rsidRPr="000260BA">
        <w:rPr>
          <w:rFonts w:asciiTheme="majorHAnsi" w:hAnsiTheme="majorHAnsi" w:cstheme="majorHAnsi"/>
        </w:rPr>
        <w:t xml:space="preserve"> (</w:t>
      </w:r>
      <w:r w:rsidR="00142434" w:rsidRPr="000260BA">
        <w:rPr>
          <w:rFonts w:asciiTheme="majorHAnsi" w:hAnsiTheme="majorHAnsi" w:cstheme="majorHAnsi"/>
        </w:rPr>
        <w:t>9.7% of the population</w:t>
      </w:r>
      <w:r w:rsidR="00071B09" w:rsidRPr="000260BA">
        <w:rPr>
          <w:rFonts w:asciiTheme="majorHAnsi" w:hAnsiTheme="majorHAnsi" w:cstheme="majorHAnsi"/>
        </w:rPr>
        <w:t xml:space="preserve">). </w:t>
      </w:r>
      <w:r w:rsidR="00071B09" w:rsidRPr="000260BA">
        <w:rPr>
          <w:rStyle w:val="FootnoteReference"/>
          <w:rFonts w:asciiTheme="majorHAnsi" w:hAnsiTheme="majorHAnsi" w:cstheme="majorHAnsi"/>
        </w:rPr>
        <w:footnoteReference w:id="27"/>
      </w:r>
      <w:r w:rsidR="00367055">
        <w:rPr>
          <w:rFonts w:asciiTheme="majorHAnsi" w:hAnsiTheme="majorHAnsi" w:cstheme="majorHAnsi"/>
        </w:rPr>
        <w:t xml:space="preserve"> </w:t>
      </w:r>
    </w:p>
    <w:p w14:paraId="2737597F" w14:textId="55561BE1" w:rsidR="0092776E" w:rsidRPr="000260BA" w:rsidRDefault="0092776E" w:rsidP="006F7B3F">
      <w:pPr>
        <w:rPr>
          <w:rFonts w:asciiTheme="majorHAnsi" w:hAnsiTheme="majorHAnsi" w:cstheme="majorHAnsi"/>
        </w:rPr>
      </w:pPr>
      <w:r w:rsidRPr="000260BA">
        <w:rPr>
          <w:rFonts w:asciiTheme="majorHAnsi" w:hAnsiTheme="majorHAnsi" w:cstheme="majorHAnsi"/>
        </w:rPr>
        <w:t xml:space="preserve">HOUSING STRESS </w:t>
      </w:r>
    </w:p>
    <w:p w14:paraId="78020BBB" w14:textId="01ED99BB" w:rsidR="00D41B6A" w:rsidRPr="000260BA" w:rsidRDefault="00890F20" w:rsidP="00D41B6A">
      <w:pPr>
        <w:rPr>
          <w:rFonts w:asciiTheme="majorHAnsi" w:hAnsiTheme="majorHAnsi" w:cstheme="majorHAnsi"/>
        </w:rPr>
      </w:pPr>
      <w:r w:rsidRPr="000260BA">
        <w:rPr>
          <w:rFonts w:asciiTheme="majorHAnsi" w:hAnsiTheme="majorHAnsi" w:cstheme="majorHAnsi"/>
        </w:rPr>
        <w:t xml:space="preserve">According to the 2016 census, </w:t>
      </w:r>
      <w:r w:rsidR="00D41B6A" w:rsidRPr="000260BA">
        <w:rPr>
          <w:rFonts w:asciiTheme="majorHAnsi" w:hAnsiTheme="majorHAnsi" w:cstheme="majorHAnsi"/>
        </w:rPr>
        <w:t xml:space="preserve">81% of renting one-parent families, and 90% of older sole person households, face </w:t>
      </w:r>
      <w:r w:rsidRPr="000260BA">
        <w:rPr>
          <w:rFonts w:asciiTheme="majorHAnsi" w:hAnsiTheme="majorHAnsi" w:cstheme="majorHAnsi"/>
        </w:rPr>
        <w:t>housing stress.</w:t>
      </w:r>
      <w:r w:rsidR="00D41B6A" w:rsidRPr="000260BA">
        <w:rPr>
          <w:rFonts w:asciiTheme="majorHAnsi" w:hAnsiTheme="majorHAnsi" w:cstheme="majorHAnsi"/>
        </w:rPr>
        <w:t xml:space="preserve"> </w:t>
      </w:r>
      <w:r w:rsidRPr="000260BA">
        <w:rPr>
          <w:rFonts w:asciiTheme="majorHAnsi" w:hAnsiTheme="majorHAnsi" w:cstheme="majorHAnsi"/>
        </w:rPr>
        <w:t xml:space="preserve">In addition, 51% of renting </w:t>
      </w:r>
      <w:r w:rsidR="00D41B6A" w:rsidRPr="000260BA">
        <w:rPr>
          <w:rFonts w:asciiTheme="majorHAnsi" w:hAnsiTheme="majorHAnsi" w:cstheme="majorHAnsi"/>
        </w:rPr>
        <w:t xml:space="preserve">families with no young children were living in rent-related financial stress. Overall, </w:t>
      </w:r>
      <w:r w:rsidRPr="000260BA">
        <w:rPr>
          <w:rFonts w:asciiTheme="majorHAnsi" w:hAnsiTheme="majorHAnsi" w:cstheme="majorHAnsi"/>
        </w:rPr>
        <w:t>68%</w:t>
      </w:r>
      <w:r w:rsidR="00D41B6A" w:rsidRPr="000260BA">
        <w:rPr>
          <w:rFonts w:asciiTheme="majorHAnsi" w:hAnsiTheme="majorHAnsi" w:cstheme="majorHAnsi"/>
        </w:rPr>
        <w:t xml:space="preserve"> of renters in Greater Dandenong faced such financial stringency after paying their rent</w:t>
      </w:r>
      <w:r w:rsidRPr="000260BA">
        <w:rPr>
          <w:rFonts w:asciiTheme="majorHAnsi" w:hAnsiTheme="majorHAnsi" w:cstheme="majorHAnsi"/>
        </w:rPr>
        <w:t xml:space="preserve">. </w:t>
      </w:r>
      <w:r w:rsidR="00367055">
        <w:rPr>
          <w:rFonts w:asciiTheme="majorHAnsi" w:hAnsiTheme="majorHAnsi" w:cstheme="majorHAnsi"/>
        </w:rPr>
        <w:t xml:space="preserve">Our housing services are already under considerable </w:t>
      </w:r>
      <w:r w:rsidR="006968BB">
        <w:rPr>
          <w:rFonts w:asciiTheme="majorHAnsi" w:hAnsiTheme="majorHAnsi" w:cstheme="majorHAnsi"/>
        </w:rPr>
        <w:t>strain. R</w:t>
      </w:r>
      <w:r w:rsidR="00367055">
        <w:rPr>
          <w:rFonts w:asciiTheme="majorHAnsi" w:hAnsiTheme="majorHAnsi" w:cstheme="majorHAnsi"/>
        </w:rPr>
        <w:t xml:space="preserve">ising gambling losses in our community would lead to higher numbers of people accessing such services – increasing an already significant burden on our community.  </w:t>
      </w:r>
    </w:p>
    <w:p w14:paraId="3ABF3B63" w14:textId="0047877E" w:rsidR="0092776E" w:rsidRPr="000260BA" w:rsidRDefault="0092776E" w:rsidP="006F7B3F">
      <w:pPr>
        <w:rPr>
          <w:rFonts w:asciiTheme="majorHAnsi" w:hAnsiTheme="majorHAnsi" w:cstheme="majorHAnsi"/>
        </w:rPr>
      </w:pPr>
      <w:r w:rsidRPr="000260BA">
        <w:rPr>
          <w:rFonts w:asciiTheme="majorHAnsi" w:hAnsiTheme="majorHAnsi" w:cstheme="majorHAnsi"/>
        </w:rPr>
        <w:t xml:space="preserve">FAMILY VIOLENCE </w:t>
      </w:r>
    </w:p>
    <w:p w14:paraId="761A5D53" w14:textId="38B5A2FD" w:rsidR="00EF4636" w:rsidRPr="00EF4636" w:rsidRDefault="00A374B1" w:rsidP="00EF4636">
      <w:pPr>
        <w:rPr>
          <w:rFonts w:asciiTheme="majorHAnsi" w:hAnsiTheme="majorHAnsi" w:cstheme="majorHAnsi"/>
        </w:rPr>
      </w:pPr>
      <w:r w:rsidRPr="000260BA">
        <w:rPr>
          <w:rFonts w:asciiTheme="majorHAnsi" w:hAnsiTheme="majorHAnsi" w:cstheme="majorHAnsi"/>
        </w:rPr>
        <w:t xml:space="preserve">Similar to substance abuse, gambling can often be </w:t>
      </w:r>
      <w:r w:rsidR="00C7694E">
        <w:rPr>
          <w:rFonts w:asciiTheme="majorHAnsi" w:hAnsiTheme="majorHAnsi" w:cstheme="majorHAnsi"/>
        </w:rPr>
        <w:t>inter</w:t>
      </w:r>
      <w:r w:rsidRPr="000260BA">
        <w:rPr>
          <w:rFonts w:asciiTheme="majorHAnsi" w:hAnsiTheme="majorHAnsi" w:cstheme="majorHAnsi"/>
        </w:rPr>
        <w:t xml:space="preserve">connected with family violence, </w:t>
      </w:r>
      <w:r w:rsidR="00C7694E">
        <w:rPr>
          <w:rFonts w:asciiTheme="majorHAnsi" w:hAnsiTheme="majorHAnsi" w:cstheme="majorHAnsi"/>
        </w:rPr>
        <w:t>increasing</w:t>
      </w:r>
      <w:r w:rsidRPr="000260BA">
        <w:rPr>
          <w:rFonts w:asciiTheme="majorHAnsi" w:hAnsiTheme="majorHAnsi" w:cstheme="majorHAnsi"/>
        </w:rPr>
        <w:t xml:space="preserve"> its frequency and severity. </w:t>
      </w:r>
      <w:r w:rsidR="00890F20" w:rsidRPr="000260BA">
        <w:rPr>
          <w:rFonts w:asciiTheme="majorHAnsi" w:hAnsiTheme="majorHAnsi" w:cstheme="majorHAnsi"/>
        </w:rPr>
        <w:t>T</w:t>
      </w:r>
      <w:r w:rsidR="00F94D50" w:rsidRPr="000260BA">
        <w:rPr>
          <w:rFonts w:asciiTheme="majorHAnsi" w:hAnsiTheme="majorHAnsi" w:cstheme="majorHAnsi"/>
        </w:rPr>
        <w:t xml:space="preserve">here </w:t>
      </w:r>
      <w:r w:rsidR="00890F20" w:rsidRPr="000260BA">
        <w:rPr>
          <w:rFonts w:asciiTheme="majorHAnsi" w:hAnsiTheme="majorHAnsi" w:cstheme="majorHAnsi"/>
        </w:rPr>
        <w:t>is</w:t>
      </w:r>
      <w:r w:rsidR="000E0FB5" w:rsidRPr="000260BA">
        <w:rPr>
          <w:rFonts w:asciiTheme="majorHAnsi" w:hAnsiTheme="majorHAnsi" w:cstheme="majorHAnsi"/>
        </w:rPr>
        <w:t xml:space="preserve"> a statistical</w:t>
      </w:r>
      <w:r w:rsidR="00F94D50" w:rsidRPr="000260BA">
        <w:rPr>
          <w:rFonts w:asciiTheme="majorHAnsi" w:hAnsiTheme="majorHAnsi" w:cstheme="majorHAnsi"/>
        </w:rPr>
        <w:t xml:space="preserve"> </w:t>
      </w:r>
      <w:r w:rsidR="00890F20" w:rsidRPr="000260BA">
        <w:rPr>
          <w:rFonts w:asciiTheme="majorHAnsi" w:hAnsiTheme="majorHAnsi" w:cstheme="majorHAnsi"/>
        </w:rPr>
        <w:t>relationship</w:t>
      </w:r>
      <w:r w:rsidR="00F94D50" w:rsidRPr="000260BA">
        <w:rPr>
          <w:rFonts w:asciiTheme="majorHAnsi" w:hAnsiTheme="majorHAnsi" w:cstheme="majorHAnsi"/>
        </w:rPr>
        <w:t xml:space="preserve"> between</w:t>
      </w:r>
      <w:r w:rsidR="000E0FB5" w:rsidRPr="000260BA">
        <w:rPr>
          <w:rFonts w:asciiTheme="majorHAnsi" w:hAnsiTheme="majorHAnsi" w:cstheme="majorHAnsi"/>
        </w:rPr>
        <w:t xml:space="preserve"> numbers and density of EGMs</w:t>
      </w:r>
      <w:r w:rsidR="00F94D50" w:rsidRPr="000260BA">
        <w:rPr>
          <w:rFonts w:asciiTheme="majorHAnsi" w:hAnsiTheme="majorHAnsi" w:cstheme="majorHAnsi"/>
        </w:rPr>
        <w:t xml:space="preserve"> and police-recorded </w:t>
      </w:r>
      <w:r w:rsidR="000E0FB5" w:rsidRPr="000260BA">
        <w:rPr>
          <w:rFonts w:asciiTheme="majorHAnsi" w:hAnsiTheme="majorHAnsi" w:cstheme="majorHAnsi"/>
        </w:rPr>
        <w:t>family</w:t>
      </w:r>
      <w:r w:rsidR="00F94D50" w:rsidRPr="000260BA">
        <w:rPr>
          <w:rFonts w:asciiTheme="majorHAnsi" w:hAnsiTheme="majorHAnsi" w:cstheme="majorHAnsi"/>
        </w:rPr>
        <w:t xml:space="preserve"> violence rates</w:t>
      </w:r>
      <w:r w:rsidR="00C7694E">
        <w:rPr>
          <w:rFonts w:asciiTheme="majorHAnsi" w:hAnsiTheme="majorHAnsi" w:cstheme="majorHAnsi"/>
        </w:rPr>
        <w:t>.</w:t>
      </w:r>
      <w:r w:rsidR="00F94D50" w:rsidRPr="000260BA">
        <w:rPr>
          <w:rStyle w:val="FootnoteReference"/>
          <w:rFonts w:asciiTheme="majorHAnsi" w:hAnsiTheme="majorHAnsi" w:cstheme="majorHAnsi"/>
        </w:rPr>
        <w:footnoteReference w:id="28"/>
      </w:r>
      <w:r w:rsidR="000E0FB5" w:rsidRPr="000260BA">
        <w:rPr>
          <w:rFonts w:asciiTheme="majorHAnsi" w:hAnsiTheme="majorHAnsi" w:cstheme="majorHAnsi"/>
        </w:rPr>
        <w:t xml:space="preserve"> This is further backed up by evidence from Family violence crisis response service </w:t>
      </w:r>
      <w:r w:rsidR="00F94D50" w:rsidRPr="000260BA">
        <w:rPr>
          <w:rFonts w:asciiTheme="majorHAnsi" w:hAnsiTheme="majorHAnsi" w:cstheme="majorHAnsi"/>
        </w:rPr>
        <w:t>Safe Steps</w:t>
      </w:r>
      <w:r w:rsidR="000E0FB5" w:rsidRPr="000260BA">
        <w:rPr>
          <w:rFonts w:asciiTheme="majorHAnsi" w:hAnsiTheme="majorHAnsi" w:cstheme="majorHAnsi"/>
        </w:rPr>
        <w:t>, whose</w:t>
      </w:r>
      <w:r w:rsidR="00F94D50" w:rsidRPr="000260BA">
        <w:rPr>
          <w:rFonts w:asciiTheme="majorHAnsi" w:hAnsiTheme="majorHAnsi" w:cstheme="majorHAnsi"/>
        </w:rPr>
        <w:t xml:space="preserve"> </w:t>
      </w:r>
      <w:r w:rsidR="000E0FB5" w:rsidRPr="000260BA">
        <w:rPr>
          <w:rFonts w:asciiTheme="majorHAnsi" w:hAnsiTheme="majorHAnsi" w:cstheme="majorHAnsi"/>
        </w:rPr>
        <w:t xml:space="preserve">data reveals </w:t>
      </w:r>
      <w:r w:rsidR="00F94D50" w:rsidRPr="000260BA">
        <w:rPr>
          <w:rFonts w:asciiTheme="majorHAnsi" w:hAnsiTheme="majorHAnsi" w:cstheme="majorHAnsi"/>
        </w:rPr>
        <w:t xml:space="preserve">that </w:t>
      </w:r>
      <w:r w:rsidR="000E0FB5" w:rsidRPr="000260BA">
        <w:rPr>
          <w:rFonts w:asciiTheme="majorHAnsi" w:hAnsiTheme="majorHAnsi" w:cstheme="majorHAnsi"/>
        </w:rPr>
        <w:t>calls to their service</w:t>
      </w:r>
      <w:r w:rsidR="00F94D50" w:rsidRPr="000260BA">
        <w:rPr>
          <w:rFonts w:asciiTheme="majorHAnsi" w:hAnsiTheme="majorHAnsi" w:cstheme="majorHAnsi"/>
        </w:rPr>
        <w:t xml:space="preserve"> spiked </w:t>
      </w:r>
      <w:r w:rsidR="000E0FB5" w:rsidRPr="000260BA">
        <w:rPr>
          <w:rFonts w:asciiTheme="majorHAnsi" w:hAnsiTheme="majorHAnsi" w:cstheme="majorHAnsi"/>
        </w:rPr>
        <w:t>during times</w:t>
      </w:r>
      <w:r w:rsidR="00F94D50" w:rsidRPr="000260BA">
        <w:rPr>
          <w:rFonts w:asciiTheme="majorHAnsi" w:hAnsiTheme="majorHAnsi" w:cstheme="majorHAnsi"/>
        </w:rPr>
        <w:t xml:space="preserve"> of signific</w:t>
      </w:r>
      <w:r w:rsidR="000E0FB5" w:rsidRPr="000260BA">
        <w:rPr>
          <w:rFonts w:asciiTheme="majorHAnsi" w:hAnsiTheme="majorHAnsi" w:cstheme="majorHAnsi"/>
        </w:rPr>
        <w:t>ant gambling activity.</w:t>
      </w:r>
      <w:r w:rsidR="00F94D50" w:rsidRPr="000260BA">
        <w:rPr>
          <w:rStyle w:val="FootnoteReference"/>
          <w:rFonts w:asciiTheme="majorHAnsi" w:hAnsiTheme="majorHAnsi" w:cstheme="majorHAnsi"/>
        </w:rPr>
        <w:footnoteReference w:id="29"/>
      </w:r>
      <w:r w:rsidR="00025329" w:rsidRPr="000260BA">
        <w:rPr>
          <w:rFonts w:asciiTheme="majorHAnsi" w:hAnsiTheme="majorHAnsi" w:cstheme="majorHAnsi"/>
        </w:rPr>
        <w:t xml:space="preserve"> </w:t>
      </w:r>
      <w:r w:rsidR="000E0FB5" w:rsidRPr="000260BA">
        <w:rPr>
          <w:rFonts w:asciiTheme="majorHAnsi" w:hAnsiTheme="majorHAnsi" w:cstheme="majorHAnsi"/>
        </w:rPr>
        <w:t xml:space="preserve">According to the Centre for Innovative Justice, ‘gambling can be </w:t>
      </w:r>
      <w:r w:rsidR="00025329" w:rsidRPr="000260BA">
        <w:rPr>
          <w:rFonts w:asciiTheme="majorHAnsi" w:hAnsiTheme="majorHAnsi" w:cstheme="majorHAnsi"/>
        </w:rPr>
        <w:t>one of the factors which function as a barrier and make</w:t>
      </w:r>
      <w:r w:rsidR="000E0FB5" w:rsidRPr="000260BA">
        <w:rPr>
          <w:rFonts w:asciiTheme="majorHAnsi" w:hAnsiTheme="majorHAnsi" w:cstheme="majorHAnsi"/>
        </w:rPr>
        <w:t xml:space="preserve"> it harder for a perpetrator to </w:t>
      </w:r>
      <w:r w:rsidR="00025329" w:rsidRPr="000260BA">
        <w:rPr>
          <w:rFonts w:asciiTheme="majorHAnsi" w:hAnsiTheme="majorHAnsi" w:cstheme="majorHAnsi"/>
        </w:rPr>
        <w:t>choose non-violence’.</w:t>
      </w:r>
      <w:r w:rsidR="00025329" w:rsidRPr="000260BA">
        <w:rPr>
          <w:rStyle w:val="FootnoteReference"/>
          <w:rFonts w:asciiTheme="majorHAnsi" w:hAnsiTheme="majorHAnsi" w:cstheme="majorHAnsi"/>
        </w:rPr>
        <w:footnoteReference w:id="30"/>
      </w:r>
    </w:p>
    <w:p w14:paraId="6F6DC487" w14:textId="6CE16398" w:rsidR="0030684A" w:rsidRPr="000260BA" w:rsidRDefault="000E0FB5" w:rsidP="0030684A">
      <w:pPr>
        <w:rPr>
          <w:rFonts w:asciiTheme="majorHAnsi" w:hAnsiTheme="majorHAnsi" w:cstheme="majorHAnsi"/>
        </w:rPr>
      </w:pPr>
      <w:r w:rsidRPr="000260BA">
        <w:rPr>
          <w:rFonts w:asciiTheme="majorHAnsi" w:hAnsiTheme="majorHAnsi" w:cstheme="majorHAnsi"/>
        </w:rPr>
        <w:t>Studies have demonstrated that the</w:t>
      </w:r>
      <w:r w:rsidR="00743385" w:rsidRPr="000260BA">
        <w:rPr>
          <w:rFonts w:asciiTheme="majorHAnsi" w:hAnsiTheme="majorHAnsi" w:cstheme="majorHAnsi"/>
        </w:rPr>
        <w:t xml:space="preserve"> p</w:t>
      </w:r>
      <w:r w:rsidRPr="000260BA">
        <w:rPr>
          <w:rFonts w:asciiTheme="majorHAnsi" w:hAnsiTheme="majorHAnsi" w:cstheme="majorHAnsi"/>
        </w:rPr>
        <w:t xml:space="preserve">revalence of family violence increases </w:t>
      </w:r>
      <w:r w:rsidR="00743385" w:rsidRPr="000260BA">
        <w:rPr>
          <w:rFonts w:asciiTheme="majorHAnsi" w:hAnsiTheme="majorHAnsi" w:cstheme="majorHAnsi"/>
        </w:rPr>
        <w:t xml:space="preserve">in families </w:t>
      </w:r>
      <w:r w:rsidRPr="000260BA">
        <w:rPr>
          <w:rFonts w:asciiTheme="majorHAnsi" w:hAnsiTheme="majorHAnsi" w:cstheme="majorHAnsi"/>
        </w:rPr>
        <w:t xml:space="preserve">where a member </w:t>
      </w:r>
      <w:r w:rsidR="005C55A2" w:rsidRPr="000260BA">
        <w:rPr>
          <w:rFonts w:asciiTheme="majorHAnsi" w:hAnsiTheme="majorHAnsi" w:cstheme="majorHAnsi"/>
        </w:rPr>
        <w:t>is experiencing problem</w:t>
      </w:r>
      <w:r w:rsidR="00743385" w:rsidRPr="000260BA">
        <w:rPr>
          <w:rFonts w:asciiTheme="majorHAnsi" w:hAnsiTheme="majorHAnsi" w:cstheme="majorHAnsi"/>
        </w:rPr>
        <w:t xml:space="preserve"> gam</w:t>
      </w:r>
      <w:r w:rsidR="005C55A2" w:rsidRPr="000260BA">
        <w:rPr>
          <w:rFonts w:asciiTheme="majorHAnsi" w:hAnsiTheme="majorHAnsi" w:cstheme="majorHAnsi"/>
        </w:rPr>
        <w:t>bling. They reveal that sig</w:t>
      </w:r>
      <w:r w:rsidR="00CD02C9" w:rsidRPr="000260BA">
        <w:rPr>
          <w:rFonts w:asciiTheme="majorHAnsi" w:hAnsiTheme="majorHAnsi" w:cstheme="majorHAnsi"/>
        </w:rPr>
        <w:t xml:space="preserve">nificant numbers of people </w:t>
      </w:r>
      <w:r w:rsidR="0030684A" w:rsidRPr="000260BA">
        <w:rPr>
          <w:rFonts w:asciiTheme="majorHAnsi" w:hAnsiTheme="majorHAnsi" w:cstheme="majorHAnsi"/>
        </w:rPr>
        <w:t>getting help for</w:t>
      </w:r>
      <w:r w:rsidR="00CD02C9" w:rsidRPr="000260BA">
        <w:rPr>
          <w:rFonts w:asciiTheme="majorHAnsi" w:hAnsiTheme="majorHAnsi" w:cstheme="majorHAnsi"/>
        </w:rPr>
        <w:t xml:space="preserve"> problem gambling </w:t>
      </w:r>
      <w:r w:rsidR="0030684A" w:rsidRPr="000260BA">
        <w:rPr>
          <w:rFonts w:asciiTheme="majorHAnsi" w:hAnsiTheme="majorHAnsi" w:cstheme="majorHAnsi"/>
        </w:rPr>
        <w:t xml:space="preserve">problems </w:t>
      </w:r>
      <w:r w:rsidR="00CD02C9" w:rsidRPr="000260BA">
        <w:rPr>
          <w:rFonts w:asciiTheme="majorHAnsi" w:hAnsiTheme="majorHAnsi" w:cstheme="majorHAnsi"/>
        </w:rPr>
        <w:t>report using physical violence against their partners and children.</w:t>
      </w:r>
      <w:r w:rsidR="004A5B22">
        <w:rPr>
          <w:rStyle w:val="FootnoteReference"/>
          <w:rFonts w:asciiTheme="majorHAnsi" w:hAnsiTheme="majorHAnsi" w:cstheme="majorHAnsi"/>
        </w:rPr>
        <w:footnoteReference w:id="31"/>
      </w:r>
      <w:r w:rsidR="00CD02C9" w:rsidRPr="000260BA">
        <w:rPr>
          <w:rFonts w:asciiTheme="majorHAnsi" w:hAnsiTheme="majorHAnsi" w:cstheme="majorHAnsi"/>
        </w:rPr>
        <w:t xml:space="preserve"> </w:t>
      </w:r>
      <w:r w:rsidR="0030684A" w:rsidRPr="000260BA">
        <w:rPr>
          <w:rFonts w:asciiTheme="majorHAnsi" w:hAnsiTheme="majorHAnsi" w:cstheme="majorHAnsi"/>
        </w:rPr>
        <w:t>In addition to physical violence, gambling can contribute to economic abuse, trapping victims i</w:t>
      </w:r>
      <w:r w:rsidR="000260BA" w:rsidRPr="000260BA">
        <w:rPr>
          <w:rFonts w:asciiTheme="majorHAnsi" w:hAnsiTheme="majorHAnsi" w:cstheme="majorHAnsi"/>
        </w:rPr>
        <w:t xml:space="preserve">n poverty and </w:t>
      </w:r>
      <w:r w:rsidR="000260BA" w:rsidRPr="000260BA">
        <w:rPr>
          <w:rFonts w:asciiTheme="majorHAnsi" w:hAnsiTheme="majorHAnsi" w:cstheme="majorHAnsi"/>
        </w:rPr>
        <w:lastRenderedPageBreak/>
        <w:t xml:space="preserve">undermining post-separation recovery. </w:t>
      </w:r>
      <w:r w:rsidR="00944914">
        <w:rPr>
          <w:rFonts w:asciiTheme="majorHAnsi" w:hAnsiTheme="majorHAnsi" w:cstheme="majorHAnsi"/>
        </w:rPr>
        <w:t>Economic abuse can take the form of t</w:t>
      </w:r>
      <w:r w:rsidR="000260BA" w:rsidRPr="000260BA">
        <w:rPr>
          <w:rFonts w:asciiTheme="majorHAnsi" w:hAnsiTheme="majorHAnsi" w:cstheme="majorHAnsi"/>
        </w:rPr>
        <w:t xml:space="preserve">aking </w:t>
      </w:r>
      <w:r w:rsidR="0030684A" w:rsidRPr="000260BA">
        <w:rPr>
          <w:rFonts w:asciiTheme="majorHAnsi" w:hAnsiTheme="majorHAnsi" w:cstheme="majorHAnsi"/>
        </w:rPr>
        <w:t xml:space="preserve">a woman’s pay or Centrelink </w:t>
      </w:r>
      <w:r w:rsidR="000260BA" w:rsidRPr="000260BA">
        <w:rPr>
          <w:rFonts w:asciiTheme="majorHAnsi" w:hAnsiTheme="majorHAnsi" w:cstheme="majorHAnsi"/>
        </w:rPr>
        <w:t>money to gamble, getting joint loans or loans in a women’s name and</w:t>
      </w:r>
      <w:r w:rsidR="0030684A" w:rsidRPr="000260BA">
        <w:rPr>
          <w:rFonts w:asciiTheme="majorHAnsi" w:hAnsiTheme="majorHAnsi" w:cstheme="majorHAnsi"/>
        </w:rPr>
        <w:t xml:space="preserve"> gambling </w:t>
      </w:r>
      <w:r w:rsidR="000260BA" w:rsidRPr="000260BA">
        <w:rPr>
          <w:rFonts w:asciiTheme="majorHAnsi" w:hAnsiTheme="majorHAnsi" w:cstheme="majorHAnsi"/>
        </w:rPr>
        <w:t xml:space="preserve">the money away, or victims being constantly fearful based on the success or failure of their partner when out gambling. </w:t>
      </w:r>
      <w:r w:rsidR="000260BA" w:rsidRPr="000260BA">
        <w:rPr>
          <w:rStyle w:val="FootnoteReference"/>
          <w:rFonts w:asciiTheme="majorHAnsi" w:hAnsiTheme="majorHAnsi" w:cstheme="majorHAnsi"/>
        </w:rPr>
        <w:footnoteReference w:id="32"/>
      </w:r>
    </w:p>
    <w:p w14:paraId="654F86FA" w14:textId="08A496BB" w:rsidR="00CB1716" w:rsidRPr="000260BA" w:rsidRDefault="000260BA" w:rsidP="006B4AA8">
      <w:pPr>
        <w:rPr>
          <w:rFonts w:asciiTheme="majorHAnsi" w:hAnsiTheme="majorHAnsi" w:cstheme="majorHAnsi"/>
        </w:rPr>
      </w:pPr>
      <w:r w:rsidRPr="000260BA">
        <w:rPr>
          <w:rFonts w:asciiTheme="majorHAnsi" w:hAnsiTheme="majorHAnsi" w:cstheme="majorHAnsi"/>
        </w:rPr>
        <w:t xml:space="preserve">Family violence is a serious issue </w:t>
      </w:r>
      <w:r>
        <w:rPr>
          <w:rFonts w:asciiTheme="majorHAnsi" w:hAnsiTheme="majorHAnsi" w:cstheme="majorHAnsi"/>
        </w:rPr>
        <w:t xml:space="preserve">in the </w:t>
      </w:r>
      <w:r w:rsidR="008F0250">
        <w:rPr>
          <w:rFonts w:asciiTheme="majorHAnsi" w:hAnsiTheme="majorHAnsi" w:cstheme="majorHAnsi"/>
        </w:rPr>
        <w:t>City of Greater Dandenong</w:t>
      </w:r>
      <w:r>
        <w:rPr>
          <w:rFonts w:asciiTheme="majorHAnsi" w:hAnsiTheme="majorHAnsi" w:cstheme="majorHAnsi"/>
        </w:rPr>
        <w:t xml:space="preserve"> and surrounds. The </w:t>
      </w:r>
      <w:r w:rsidR="00944914">
        <w:rPr>
          <w:rFonts w:asciiTheme="majorHAnsi" w:hAnsiTheme="majorHAnsi" w:cstheme="majorHAnsi"/>
        </w:rPr>
        <w:t>C</w:t>
      </w:r>
      <w:r>
        <w:rPr>
          <w:rFonts w:asciiTheme="majorHAnsi" w:hAnsiTheme="majorHAnsi" w:cstheme="majorHAnsi"/>
        </w:rPr>
        <w:t xml:space="preserve">ity of Casey, located </w:t>
      </w:r>
      <w:r w:rsidR="00944914">
        <w:rPr>
          <w:rFonts w:asciiTheme="majorHAnsi" w:hAnsiTheme="majorHAnsi" w:cstheme="majorHAnsi"/>
        </w:rPr>
        <w:t>a mere one kilometre from</w:t>
      </w:r>
      <w:r>
        <w:rPr>
          <w:rFonts w:asciiTheme="majorHAnsi" w:hAnsiTheme="majorHAnsi" w:cstheme="majorHAnsi"/>
        </w:rPr>
        <w:t xml:space="preserve"> Dandenong </w:t>
      </w:r>
      <w:proofErr w:type="spellStart"/>
      <w:r>
        <w:rPr>
          <w:rFonts w:asciiTheme="majorHAnsi" w:hAnsiTheme="majorHAnsi" w:cstheme="majorHAnsi"/>
        </w:rPr>
        <w:t>RSL</w:t>
      </w:r>
      <w:proofErr w:type="spellEnd"/>
      <w:r>
        <w:rPr>
          <w:rFonts w:asciiTheme="majorHAnsi" w:hAnsiTheme="majorHAnsi" w:cstheme="majorHAnsi"/>
        </w:rPr>
        <w:t xml:space="preserve">, has the highest </w:t>
      </w:r>
      <w:r w:rsidR="00445757">
        <w:rPr>
          <w:rFonts w:asciiTheme="majorHAnsi" w:hAnsiTheme="majorHAnsi" w:cstheme="majorHAnsi"/>
        </w:rPr>
        <w:t xml:space="preserve">actual </w:t>
      </w:r>
      <w:r w:rsidR="001F6B9B">
        <w:rPr>
          <w:rFonts w:asciiTheme="majorHAnsi" w:hAnsiTheme="majorHAnsi" w:cstheme="majorHAnsi"/>
        </w:rPr>
        <w:t>numbers</w:t>
      </w:r>
      <w:r>
        <w:rPr>
          <w:rFonts w:asciiTheme="majorHAnsi" w:hAnsiTheme="majorHAnsi" w:cstheme="majorHAnsi"/>
        </w:rPr>
        <w:t xml:space="preserve"> of family violence related police call outs in </w:t>
      </w:r>
      <w:r w:rsidR="00944914">
        <w:rPr>
          <w:rFonts w:asciiTheme="majorHAnsi" w:hAnsiTheme="majorHAnsi" w:cstheme="majorHAnsi"/>
        </w:rPr>
        <w:t>Victoria</w:t>
      </w:r>
      <w:r>
        <w:rPr>
          <w:rFonts w:asciiTheme="majorHAnsi" w:hAnsiTheme="majorHAnsi" w:cstheme="majorHAnsi"/>
        </w:rPr>
        <w:t xml:space="preserve">. </w:t>
      </w:r>
      <w:r w:rsidR="006E0C9F">
        <w:rPr>
          <w:rStyle w:val="FootnoteReference"/>
          <w:rFonts w:asciiTheme="majorHAnsi" w:hAnsiTheme="majorHAnsi" w:cstheme="majorHAnsi"/>
        </w:rPr>
        <w:footnoteReference w:id="33"/>
      </w:r>
      <w:r w:rsidR="006B4AA8">
        <w:rPr>
          <w:rFonts w:asciiTheme="majorHAnsi" w:hAnsiTheme="majorHAnsi" w:cstheme="majorHAnsi"/>
        </w:rPr>
        <w:t xml:space="preserve"> In the </w:t>
      </w:r>
      <w:r w:rsidR="008F0250">
        <w:rPr>
          <w:rFonts w:asciiTheme="majorHAnsi" w:hAnsiTheme="majorHAnsi" w:cstheme="majorHAnsi"/>
        </w:rPr>
        <w:t>City of Greater Dandenong</w:t>
      </w:r>
      <w:r w:rsidR="006B4AA8">
        <w:rPr>
          <w:rFonts w:asciiTheme="majorHAnsi" w:hAnsiTheme="majorHAnsi" w:cstheme="majorHAnsi"/>
        </w:rPr>
        <w:t xml:space="preserve">, our community also experiences extremely high rates of family violence, with 1571 police callouts per 100,000 residents, putting us well above state averages. In </w:t>
      </w:r>
      <w:r w:rsidR="001F6B9B">
        <w:rPr>
          <w:rFonts w:asciiTheme="majorHAnsi" w:hAnsiTheme="majorHAnsi" w:cstheme="majorHAnsi"/>
        </w:rPr>
        <w:t>2015</w:t>
      </w:r>
      <w:r w:rsidR="006B4AA8">
        <w:rPr>
          <w:rFonts w:asciiTheme="majorHAnsi" w:hAnsiTheme="majorHAnsi" w:cstheme="majorHAnsi"/>
        </w:rPr>
        <w:t xml:space="preserve">, Police </w:t>
      </w:r>
      <w:r w:rsidR="001F6B9B">
        <w:rPr>
          <w:rFonts w:asciiTheme="majorHAnsi" w:hAnsiTheme="majorHAnsi" w:cstheme="majorHAnsi"/>
        </w:rPr>
        <w:t xml:space="preserve">stated that South Eastern local government areas </w:t>
      </w:r>
      <w:r w:rsidR="001F6B9B" w:rsidRPr="001F6B9B">
        <w:rPr>
          <w:rFonts w:asciiTheme="majorHAnsi" w:hAnsiTheme="majorHAnsi" w:cstheme="majorHAnsi"/>
        </w:rPr>
        <w:t>Greater Dandenong, Casey and Cardinia make up nearly 1</w:t>
      </w:r>
      <w:r w:rsidR="001F6B9B">
        <w:rPr>
          <w:rFonts w:asciiTheme="majorHAnsi" w:hAnsiTheme="majorHAnsi" w:cstheme="majorHAnsi"/>
        </w:rPr>
        <w:t>0 per cent of the state’s total of family violence related police call</w:t>
      </w:r>
      <w:r w:rsidR="00445757">
        <w:rPr>
          <w:rFonts w:asciiTheme="majorHAnsi" w:hAnsiTheme="majorHAnsi" w:cstheme="majorHAnsi"/>
        </w:rPr>
        <w:t xml:space="preserve"> outs.</w:t>
      </w:r>
      <w:r w:rsidR="001F6B9B">
        <w:rPr>
          <w:rStyle w:val="FootnoteReference"/>
          <w:rFonts w:asciiTheme="majorHAnsi" w:hAnsiTheme="majorHAnsi" w:cstheme="majorHAnsi"/>
        </w:rPr>
        <w:footnoteReference w:id="34"/>
      </w:r>
      <w:r w:rsidR="001F6B9B">
        <w:rPr>
          <w:rFonts w:asciiTheme="majorHAnsi" w:hAnsiTheme="majorHAnsi" w:cstheme="majorHAnsi"/>
        </w:rPr>
        <w:t xml:space="preserve"> These figures are only representative of police intervention, and do n</w:t>
      </w:r>
      <w:r w:rsidR="001F6B9B" w:rsidRPr="001F6B9B">
        <w:rPr>
          <w:rFonts w:asciiTheme="majorHAnsi" w:hAnsiTheme="majorHAnsi" w:cstheme="majorHAnsi"/>
        </w:rPr>
        <w:t xml:space="preserve">ot include women and children who are suffering from family violence </w:t>
      </w:r>
      <w:r w:rsidR="007D5E99">
        <w:rPr>
          <w:rFonts w:asciiTheme="majorHAnsi" w:hAnsiTheme="majorHAnsi" w:cstheme="majorHAnsi"/>
        </w:rPr>
        <w:t xml:space="preserve">have not felt </w:t>
      </w:r>
      <w:r w:rsidR="001F6B9B" w:rsidRPr="001F6B9B">
        <w:rPr>
          <w:rFonts w:asciiTheme="majorHAnsi" w:hAnsiTheme="majorHAnsi" w:cstheme="majorHAnsi"/>
        </w:rPr>
        <w:t>confident to report it.</w:t>
      </w:r>
    </w:p>
    <w:p w14:paraId="31DB2B9D" w14:textId="0F6EB63B" w:rsidR="001F6B9B" w:rsidRDefault="001F6B9B" w:rsidP="008C4918">
      <w:pPr>
        <w:rPr>
          <w:rFonts w:asciiTheme="majorHAnsi" w:hAnsiTheme="majorHAnsi" w:cstheme="majorHAnsi"/>
        </w:rPr>
      </w:pPr>
      <w:r>
        <w:rPr>
          <w:rFonts w:asciiTheme="majorHAnsi" w:hAnsiTheme="majorHAnsi" w:cstheme="majorHAnsi"/>
        </w:rPr>
        <w:t>Increased access to</w:t>
      </w:r>
      <w:r w:rsidR="00445757">
        <w:rPr>
          <w:rFonts w:asciiTheme="majorHAnsi" w:hAnsiTheme="majorHAnsi" w:cstheme="majorHAnsi"/>
        </w:rPr>
        <w:t xml:space="preserve"> EGMs and the losses associated, will contribute to </w:t>
      </w:r>
      <w:r w:rsidRPr="001F6B9B">
        <w:rPr>
          <w:rFonts w:asciiTheme="majorHAnsi" w:hAnsiTheme="majorHAnsi" w:cstheme="majorHAnsi"/>
        </w:rPr>
        <w:t>an already horrific family violence problem.</w:t>
      </w:r>
      <w:r w:rsidR="00445757" w:rsidRPr="00445757">
        <w:rPr>
          <w:rFonts w:asciiTheme="majorHAnsi" w:hAnsiTheme="majorHAnsi" w:cstheme="majorHAnsi"/>
        </w:rPr>
        <w:t xml:space="preserve"> </w:t>
      </w:r>
      <w:r w:rsidR="00445757" w:rsidRPr="00EF4636">
        <w:rPr>
          <w:rFonts w:asciiTheme="majorHAnsi" w:hAnsiTheme="majorHAnsi" w:cstheme="majorHAnsi"/>
        </w:rPr>
        <w:t>When considering the social and economic impact of any proposal</w:t>
      </w:r>
      <w:r w:rsidR="00445757">
        <w:rPr>
          <w:rFonts w:asciiTheme="majorHAnsi" w:hAnsiTheme="majorHAnsi" w:cstheme="majorHAnsi"/>
        </w:rPr>
        <w:t>,</w:t>
      </w:r>
      <w:r w:rsidR="00445757" w:rsidRPr="00EF4636">
        <w:rPr>
          <w:rFonts w:asciiTheme="majorHAnsi" w:hAnsiTheme="majorHAnsi" w:cstheme="majorHAnsi"/>
        </w:rPr>
        <w:t xml:space="preserve"> particular emphasis should be given to family violence. So called ‘benefits’ the </w:t>
      </w:r>
      <w:proofErr w:type="spellStart"/>
      <w:r w:rsidR="00445757" w:rsidRPr="00EF4636">
        <w:rPr>
          <w:rFonts w:asciiTheme="majorHAnsi" w:hAnsiTheme="majorHAnsi" w:cstheme="majorHAnsi"/>
        </w:rPr>
        <w:t>RSL</w:t>
      </w:r>
      <w:proofErr w:type="spellEnd"/>
      <w:r w:rsidR="00445757" w:rsidRPr="00EF4636">
        <w:rPr>
          <w:rFonts w:asciiTheme="majorHAnsi" w:hAnsiTheme="majorHAnsi" w:cstheme="majorHAnsi"/>
        </w:rPr>
        <w:t xml:space="preserve"> argues may stem from installing these machines, cannot be given weight in comparison to the harms stemming from family violence. Its prevalence in our society and the destruction of the lives of women and children must be at the forefront of all considerations relating to increasing access to EGMs in the </w:t>
      </w:r>
      <w:r w:rsidR="00445757">
        <w:rPr>
          <w:rFonts w:asciiTheme="majorHAnsi" w:hAnsiTheme="majorHAnsi" w:cstheme="majorHAnsi"/>
        </w:rPr>
        <w:t>City of Greater Dandenong</w:t>
      </w:r>
      <w:r w:rsidR="00445757" w:rsidRPr="00EF4636">
        <w:rPr>
          <w:rFonts w:asciiTheme="majorHAnsi" w:hAnsiTheme="majorHAnsi" w:cstheme="majorHAnsi"/>
        </w:rPr>
        <w:t xml:space="preserve">.  </w:t>
      </w:r>
    </w:p>
    <w:p w14:paraId="4830337B" w14:textId="23D60938" w:rsidR="008C4918" w:rsidRPr="006B4AA8" w:rsidRDefault="006B4AA8" w:rsidP="008C4918">
      <w:pPr>
        <w:rPr>
          <w:rFonts w:asciiTheme="majorHAnsi" w:hAnsiTheme="majorHAnsi" w:cstheme="majorHAnsi"/>
        </w:rPr>
      </w:pPr>
      <w:r w:rsidRPr="006B4AA8">
        <w:rPr>
          <w:rFonts w:asciiTheme="majorHAnsi" w:hAnsiTheme="majorHAnsi" w:cstheme="majorHAnsi"/>
        </w:rPr>
        <w:t xml:space="preserve">CRIME </w:t>
      </w:r>
    </w:p>
    <w:p w14:paraId="060ED6E4" w14:textId="50C5A252" w:rsidR="0096701E" w:rsidRPr="000260BA" w:rsidRDefault="0096701E" w:rsidP="008C4918">
      <w:pPr>
        <w:rPr>
          <w:rFonts w:asciiTheme="majorHAnsi" w:hAnsiTheme="majorHAnsi" w:cstheme="majorHAnsi"/>
        </w:rPr>
      </w:pPr>
      <w:r w:rsidRPr="000260BA">
        <w:rPr>
          <w:rFonts w:asciiTheme="majorHAnsi" w:hAnsiTheme="majorHAnsi" w:cstheme="majorHAnsi"/>
        </w:rPr>
        <w:t xml:space="preserve">There is evidence that problem gambling </w:t>
      </w:r>
      <w:r w:rsidR="00695081">
        <w:rPr>
          <w:rFonts w:asciiTheme="majorHAnsi" w:hAnsiTheme="majorHAnsi" w:cstheme="majorHAnsi"/>
        </w:rPr>
        <w:t>connects with criminal behaviours</w:t>
      </w:r>
      <w:r w:rsidRPr="000260BA">
        <w:rPr>
          <w:rFonts w:asciiTheme="majorHAnsi" w:hAnsiTheme="majorHAnsi" w:cstheme="majorHAnsi"/>
        </w:rPr>
        <w:t xml:space="preserve">. It </w:t>
      </w:r>
      <w:r w:rsidR="00695081">
        <w:rPr>
          <w:rFonts w:asciiTheme="majorHAnsi" w:hAnsiTheme="majorHAnsi" w:cstheme="majorHAnsi"/>
        </w:rPr>
        <w:t xml:space="preserve">can be both a driver of crime and a </w:t>
      </w:r>
      <w:r w:rsidRPr="000260BA">
        <w:rPr>
          <w:rFonts w:asciiTheme="majorHAnsi" w:hAnsiTheme="majorHAnsi" w:cstheme="majorHAnsi"/>
        </w:rPr>
        <w:t xml:space="preserve">risk factor for recidivism.  </w:t>
      </w:r>
      <w:r w:rsidR="00695081">
        <w:rPr>
          <w:rStyle w:val="FootnoteReference"/>
          <w:rFonts w:asciiTheme="majorHAnsi" w:hAnsiTheme="majorHAnsi" w:cstheme="majorHAnsi"/>
        </w:rPr>
        <w:footnoteReference w:id="35"/>
      </w:r>
    </w:p>
    <w:p w14:paraId="41D37399" w14:textId="3FF2FEE4" w:rsidR="00695081" w:rsidRDefault="00695081" w:rsidP="00695081">
      <w:pPr>
        <w:rPr>
          <w:rFonts w:asciiTheme="majorHAnsi" w:hAnsiTheme="majorHAnsi" w:cstheme="majorHAnsi"/>
        </w:rPr>
      </w:pPr>
      <w:r>
        <w:rPr>
          <w:rFonts w:asciiTheme="majorHAnsi" w:hAnsiTheme="majorHAnsi" w:cstheme="majorHAnsi"/>
        </w:rPr>
        <w:t>The Centre for Innovative Justice report “Compulsion, Convergence</w:t>
      </w:r>
      <w:r w:rsidRPr="00695081">
        <w:rPr>
          <w:rFonts w:asciiTheme="majorHAnsi" w:hAnsiTheme="majorHAnsi" w:cstheme="majorHAnsi"/>
        </w:rPr>
        <w:t xml:space="preserve"> or crime?</w:t>
      </w:r>
      <w:r>
        <w:rPr>
          <w:rFonts w:asciiTheme="majorHAnsi" w:hAnsiTheme="majorHAnsi" w:cstheme="majorHAnsi"/>
        </w:rPr>
        <w:t xml:space="preserve">’ found that </w:t>
      </w:r>
      <w:r w:rsidR="0030684A" w:rsidRPr="000260BA">
        <w:rPr>
          <w:rFonts w:asciiTheme="majorHAnsi" w:hAnsiTheme="majorHAnsi" w:cstheme="majorHAnsi"/>
        </w:rPr>
        <w:t>gambling; gambling venues or gambling related debt can</w:t>
      </w:r>
      <w:r>
        <w:rPr>
          <w:rFonts w:asciiTheme="majorHAnsi" w:hAnsiTheme="majorHAnsi" w:cstheme="majorHAnsi"/>
        </w:rPr>
        <w:t>:</w:t>
      </w:r>
    </w:p>
    <w:p w14:paraId="7640AAC8" w14:textId="188F041B" w:rsidR="0030684A" w:rsidRPr="00695081" w:rsidRDefault="00695081" w:rsidP="00695081">
      <w:pPr>
        <w:pStyle w:val="ListParagraph"/>
        <w:numPr>
          <w:ilvl w:val="3"/>
          <w:numId w:val="7"/>
        </w:numPr>
        <w:ind w:left="567"/>
        <w:rPr>
          <w:rFonts w:asciiTheme="majorHAnsi" w:hAnsiTheme="majorHAnsi" w:cstheme="majorHAnsi"/>
          <w:i/>
        </w:rPr>
      </w:pPr>
      <w:r>
        <w:rPr>
          <w:rFonts w:asciiTheme="majorHAnsi" w:hAnsiTheme="majorHAnsi" w:cstheme="majorHAnsi"/>
          <w:i/>
        </w:rPr>
        <w:t>“</w:t>
      </w:r>
      <w:r w:rsidR="0030684A" w:rsidRPr="00695081">
        <w:rPr>
          <w:rFonts w:asciiTheme="majorHAnsi" w:hAnsiTheme="majorHAnsi" w:cstheme="majorHAnsi"/>
          <w:i/>
        </w:rPr>
        <w:t>increase the risk of recidivism upon release for people convicted for non-gambling related offences;</w:t>
      </w:r>
    </w:p>
    <w:p w14:paraId="29E4C0DB" w14:textId="02E3F952" w:rsidR="0030684A" w:rsidRPr="00695081" w:rsidRDefault="0030684A" w:rsidP="00695081">
      <w:pPr>
        <w:pStyle w:val="ListParagraph"/>
        <w:numPr>
          <w:ilvl w:val="0"/>
          <w:numId w:val="7"/>
        </w:numPr>
        <w:ind w:left="567"/>
        <w:rPr>
          <w:rFonts w:asciiTheme="majorHAnsi" w:hAnsiTheme="majorHAnsi" w:cstheme="majorHAnsi"/>
          <w:i/>
        </w:rPr>
      </w:pPr>
      <w:r w:rsidRPr="00695081">
        <w:rPr>
          <w:rFonts w:asciiTheme="majorHAnsi" w:hAnsiTheme="majorHAnsi" w:cstheme="majorHAnsi"/>
          <w:i/>
        </w:rPr>
        <w:t>propel people from disadvantaged socio-economic status into crime just to feed their families;</w:t>
      </w:r>
    </w:p>
    <w:p w14:paraId="47C75153" w14:textId="380F589E" w:rsidR="0030684A" w:rsidRPr="00695081" w:rsidRDefault="0030684A" w:rsidP="00695081">
      <w:pPr>
        <w:pStyle w:val="ListParagraph"/>
        <w:numPr>
          <w:ilvl w:val="0"/>
          <w:numId w:val="7"/>
        </w:numPr>
        <w:ind w:left="567"/>
        <w:rPr>
          <w:rFonts w:asciiTheme="majorHAnsi" w:hAnsiTheme="majorHAnsi" w:cstheme="majorHAnsi"/>
          <w:i/>
        </w:rPr>
      </w:pPr>
      <w:r w:rsidRPr="00695081">
        <w:rPr>
          <w:rFonts w:asciiTheme="majorHAnsi" w:hAnsiTheme="majorHAnsi" w:cstheme="majorHAnsi"/>
          <w:i/>
        </w:rPr>
        <w:t>lead people (including a gambler’s partner or family members) to be coerced into offending;</w:t>
      </w:r>
    </w:p>
    <w:p w14:paraId="23143C03" w14:textId="18464956" w:rsidR="0030684A" w:rsidRPr="00695081" w:rsidRDefault="0030684A" w:rsidP="00695081">
      <w:pPr>
        <w:pStyle w:val="ListParagraph"/>
        <w:numPr>
          <w:ilvl w:val="0"/>
          <w:numId w:val="7"/>
        </w:numPr>
        <w:ind w:left="567"/>
        <w:rPr>
          <w:rFonts w:asciiTheme="majorHAnsi" w:hAnsiTheme="majorHAnsi" w:cstheme="majorHAnsi"/>
          <w:i/>
        </w:rPr>
      </w:pPr>
      <w:r w:rsidRPr="00695081">
        <w:rPr>
          <w:rFonts w:asciiTheme="majorHAnsi" w:hAnsiTheme="majorHAnsi" w:cstheme="majorHAnsi"/>
          <w:i/>
        </w:rPr>
        <w:t>manifest as a form of economic abuse in the context of family violence;</w:t>
      </w:r>
    </w:p>
    <w:p w14:paraId="5A4EFE07" w14:textId="5BB2B8FC" w:rsidR="0030684A" w:rsidRPr="00695081" w:rsidRDefault="0030684A" w:rsidP="00695081">
      <w:pPr>
        <w:pStyle w:val="ListParagraph"/>
        <w:numPr>
          <w:ilvl w:val="0"/>
          <w:numId w:val="7"/>
        </w:numPr>
        <w:ind w:left="567"/>
        <w:rPr>
          <w:rFonts w:asciiTheme="majorHAnsi" w:hAnsiTheme="majorHAnsi" w:cstheme="majorHAnsi"/>
          <w:i/>
        </w:rPr>
      </w:pPr>
      <w:r w:rsidRPr="00695081">
        <w:rPr>
          <w:rFonts w:asciiTheme="majorHAnsi" w:hAnsiTheme="majorHAnsi" w:cstheme="majorHAnsi"/>
          <w:i/>
        </w:rPr>
        <w:t>draw victims of family violence into criminogenic environments as a way of seeking respite;</w:t>
      </w:r>
    </w:p>
    <w:p w14:paraId="20B55E46" w14:textId="39128B23" w:rsidR="00C84B7A" w:rsidRPr="00695081" w:rsidRDefault="0030684A" w:rsidP="00695081">
      <w:pPr>
        <w:pStyle w:val="ListParagraph"/>
        <w:numPr>
          <w:ilvl w:val="0"/>
          <w:numId w:val="7"/>
        </w:numPr>
        <w:ind w:left="567"/>
        <w:rPr>
          <w:rFonts w:asciiTheme="majorHAnsi" w:hAnsiTheme="majorHAnsi" w:cstheme="majorHAnsi"/>
        </w:rPr>
      </w:pPr>
      <w:proofErr w:type="gramStart"/>
      <w:r w:rsidRPr="00695081">
        <w:rPr>
          <w:rFonts w:asciiTheme="majorHAnsi" w:hAnsiTheme="majorHAnsi" w:cstheme="majorHAnsi"/>
          <w:i/>
        </w:rPr>
        <w:t>lead</w:t>
      </w:r>
      <w:proofErr w:type="gramEnd"/>
      <w:r w:rsidRPr="00695081">
        <w:rPr>
          <w:rFonts w:asciiTheme="majorHAnsi" w:hAnsiTheme="majorHAnsi" w:cstheme="majorHAnsi"/>
          <w:i/>
        </w:rPr>
        <w:t xml:space="preserve"> to theft and deception of extended family by adult children in the context of elder abuse.</w:t>
      </w:r>
      <w:r w:rsidR="00695081">
        <w:rPr>
          <w:rFonts w:asciiTheme="majorHAnsi" w:hAnsiTheme="majorHAnsi" w:cstheme="majorHAnsi"/>
          <w:i/>
        </w:rPr>
        <w:t>”</w:t>
      </w:r>
      <w:r w:rsidR="00A941D9">
        <w:rPr>
          <w:rStyle w:val="FootnoteReference"/>
          <w:rFonts w:asciiTheme="majorHAnsi" w:hAnsiTheme="majorHAnsi" w:cstheme="majorHAnsi"/>
          <w:i/>
        </w:rPr>
        <w:footnoteReference w:id="36"/>
      </w:r>
    </w:p>
    <w:p w14:paraId="6AE55C5F" w14:textId="6080B11D" w:rsidR="00695081" w:rsidRDefault="00695081" w:rsidP="00695081">
      <w:pPr>
        <w:rPr>
          <w:rFonts w:asciiTheme="majorHAnsi" w:hAnsiTheme="majorHAnsi" w:cstheme="majorHAnsi"/>
        </w:rPr>
      </w:pPr>
      <w:r>
        <w:rPr>
          <w:rFonts w:asciiTheme="majorHAnsi" w:hAnsiTheme="majorHAnsi" w:cstheme="majorHAnsi"/>
        </w:rPr>
        <w:lastRenderedPageBreak/>
        <w:t xml:space="preserve">In </w:t>
      </w:r>
      <w:r w:rsidR="008F0250">
        <w:rPr>
          <w:rFonts w:asciiTheme="majorHAnsi" w:hAnsiTheme="majorHAnsi" w:cstheme="majorHAnsi"/>
        </w:rPr>
        <w:t>the City of Greater Dandenong</w:t>
      </w:r>
      <w:r>
        <w:rPr>
          <w:rFonts w:asciiTheme="majorHAnsi" w:hAnsiTheme="majorHAnsi" w:cstheme="majorHAnsi"/>
        </w:rPr>
        <w:t>, our crime rate is 1989 per 100,0</w:t>
      </w:r>
      <w:r w:rsidR="004C157F">
        <w:rPr>
          <w:rFonts w:asciiTheme="majorHAnsi" w:hAnsiTheme="majorHAnsi" w:cstheme="majorHAnsi"/>
        </w:rPr>
        <w:t>0</w:t>
      </w:r>
      <w:r>
        <w:rPr>
          <w:rFonts w:asciiTheme="majorHAnsi" w:hAnsiTheme="majorHAnsi" w:cstheme="majorHAnsi"/>
        </w:rPr>
        <w:t>0 residents, far above state averages.</w:t>
      </w:r>
      <w:r w:rsidR="004C157F">
        <w:rPr>
          <w:rStyle w:val="FootnoteReference"/>
          <w:rFonts w:asciiTheme="majorHAnsi" w:hAnsiTheme="majorHAnsi" w:cstheme="majorHAnsi"/>
        </w:rPr>
        <w:footnoteReference w:id="37"/>
      </w:r>
      <w:r>
        <w:rPr>
          <w:rFonts w:asciiTheme="majorHAnsi" w:hAnsiTheme="majorHAnsi" w:cstheme="majorHAnsi"/>
        </w:rPr>
        <w:t xml:space="preserve"> </w:t>
      </w:r>
      <w:r w:rsidR="004C157F">
        <w:rPr>
          <w:rFonts w:asciiTheme="majorHAnsi" w:hAnsiTheme="majorHAnsi" w:cstheme="majorHAnsi"/>
        </w:rPr>
        <w:t xml:space="preserve">Increasing the number of EGMs in our community will increase gambling related crime. </w:t>
      </w:r>
    </w:p>
    <w:p w14:paraId="4282F240" w14:textId="73639594" w:rsidR="003B20A9" w:rsidRDefault="003B20A9" w:rsidP="00CE0D7E">
      <w:pPr>
        <w:rPr>
          <w:rFonts w:asciiTheme="majorHAnsi" w:hAnsiTheme="majorHAnsi" w:cstheme="majorHAnsi"/>
        </w:rPr>
      </w:pPr>
      <w:r>
        <w:rPr>
          <w:rFonts w:asciiTheme="majorHAnsi" w:hAnsiTheme="majorHAnsi" w:cstheme="majorHAnsi"/>
        </w:rPr>
        <w:t>At Springvale Monash Legal Service, we provide free and confidential legal assistance to people made vulnerable and disadvantaged. Our service is already stretched. We are concerned that the inevitable increase in demand f</w:t>
      </w:r>
      <w:r w:rsidR="00EF4636">
        <w:rPr>
          <w:rFonts w:asciiTheme="majorHAnsi" w:hAnsiTheme="majorHAnsi" w:cstheme="majorHAnsi"/>
        </w:rPr>
        <w:t xml:space="preserve">or our services will not be met. </w:t>
      </w:r>
      <w:r w:rsidR="008F0250">
        <w:rPr>
          <w:rFonts w:asciiTheme="majorHAnsi" w:hAnsiTheme="majorHAnsi" w:cstheme="majorHAnsi"/>
        </w:rPr>
        <w:t>Other services in the Greater Dandenong Taskforce for Gambling Reform share the same concerns. W</w:t>
      </w:r>
      <w:r w:rsidR="00EA0412">
        <w:rPr>
          <w:rFonts w:asciiTheme="majorHAnsi" w:hAnsiTheme="majorHAnsi" w:cstheme="majorHAnsi"/>
        </w:rPr>
        <w:t xml:space="preserve">e </w:t>
      </w:r>
      <w:r>
        <w:rPr>
          <w:rFonts w:asciiTheme="majorHAnsi" w:hAnsiTheme="majorHAnsi" w:cstheme="majorHAnsi"/>
        </w:rPr>
        <w:t xml:space="preserve">call upon the </w:t>
      </w:r>
      <w:r w:rsidRPr="003B20A9">
        <w:rPr>
          <w:rFonts w:asciiTheme="majorHAnsi" w:hAnsiTheme="majorHAnsi" w:cstheme="majorHAnsi"/>
        </w:rPr>
        <w:t>Victorian Commission of Gambling and Liquor Regulation</w:t>
      </w:r>
      <w:r>
        <w:rPr>
          <w:rFonts w:asciiTheme="majorHAnsi" w:hAnsiTheme="majorHAnsi" w:cstheme="majorHAnsi"/>
        </w:rPr>
        <w:t xml:space="preserve"> to reject this application, based on the damage EGMs continue to do in our community. </w:t>
      </w:r>
    </w:p>
    <w:p w14:paraId="4E6E5556" w14:textId="77777777" w:rsidR="008F0250" w:rsidRPr="000260BA" w:rsidRDefault="008F0250" w:rsidP="00CE0D7E">
      <w:pPr>
        <w:rPr>
          <w:rFonts w:asciiTheme="majorHAnsi" w:hAnsiTheme="majorHAnsi" w:cstheme="majorHAnsi"/>
        </w:rPr>
      </w:pPr>
    </w:p>
    <w:sectPr w:rsidR="008F0250" w:rsidRPr="000260BA" w:rsidSect="004A5B22">
      <w:footerReference w:type="default" r:id="rId9"/>
      <w:pgSz w:w="11906" w:h="16838"/>
      <w:pgMar w:top="1440" w:right="1274" w:bottom="1843" w:left="1276"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FDC0F6" w14:textId="77777777" w:rsidR="00442D33" w:rsidRDefault="00442D33" w:rsidP="00FE47A4">
      <w:pPr>
        <w:spacing w:after="0" w:line="240" w:lineRule="auto"/>
      </w:pPr>
      <w:r>
        <w:separator/>
      </w:r>
    </w:p>
  </w:endnote>
  <w:endnote w:type="continuationSeparator" w:id="0">
    <w:p w14:paraId="40F9AD0F" w14:textId="77777777" w:rsidR="00442D33" w:rsidRDefault="00442D33" w:rsidP="00FE4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03370" w14:textId="32EBF76D" w:rsidR="00B97116" w:rsidRDefault="00B97116">
    <w:pPr>
      <w:pStyle w:val="Footer"/>
    </w:pPr>
    <w:r w:rsidRPr="0024184F">
      <w:rPr>
        <w:rFonts w:asciiTheme="majorHAnsi" w:hAnsiTheme="majorHAnsi" w:cstheme="majorHAnsi"/>
        <w:noProof/>
        <w:sz w:val="24"/>
        <w:szCs w:val="24"/>
        <w:lang w:eastAsia="en-AU"/>
      </w:rPr>
      <mc:AlternateContent>
        <mc:Choice Requires="wps">
          <w:drawing>
            <wp:anchor distT="0" distB="0" distL="114300" distR="114300" simplePos="0" relativeHeight="251659264" behindDoc="0" locked="0" layoutInCell="1" allowOverlap="1" wp14:anchorId="217FF022" wp14:editId="4CDEBC6A">
              <wp:simplePos x="0" y="0"/>
              <wp:positionH relativeFrom="column">
                <wp:posOffset>666750</wp:posOffset>
              </wp:positionH>
              <wp:positionV relativeFrom="page">
                <wp:posOffset>9531398</wp:posOffset>
              </wp:positionV>
              <wp:extent cx="4518660" cy="1370330"/>
              <wp:effectExtent l="0" t="0" r="0" b="127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137033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DDFBB8" w14:textId="77777777" w:rsidR="00B97116" w:rsidRPr="008C4918" w:rsidRDefault="00B97116" w:rsidP="00B97116">
                          <w:pPr>
                            <w:pStyle w:val="Default"/>
                            <w:jc w:val="center"/>
                            <w:rPr>
                              <w:rFonts w:asciiTheme="majorHAnsi" w:hAnsiTheme="majorHAnsi" w:cstheme="majorHAnsi"/>
                              <w:color w:val="92111D" w:themeColor="accent2"/>
                              <w:sz w:val="20"/>
                              <w:szCs w:val="20"/>
                            </w:rPr>
                          </w:pPr>
                          <w:r w:rsidRPr="008C4918">
                            <w:rPr>
                              <w:rFonts w:asciiTheme="majorHAnsi" w:hAnsiTheme="majorHAnsi" w:cstheme="majorHAnsi"/>
                              <w:color w:val="92111D" w:themeColor="accent2"/>
                              <w:sz w:val="20"/>
                              <w:szCs w:val="20"/>
                            </w:rPr>
                            <w:t xml:space="preserve">Springvale Monash Legal Service Inc. </w:t>
                          </w:r>
                        </w:p>
                        <w:p w14:paraId="7A034725" w14:textId="360E9CCF" w:rsidR="00B97116" w:rsidRPr="008C4918" w:rsidRDefault="00B97116" w:rsidP="00B97116">
                          <w:pPr>
                            <w:pStyle w:val="Default"/>
                            <w:jc w:val="center"/>
                            <w:rPr>
                              <w:rFonts w:asciiTheme="majorHAnsi" w:hAnsiTheme="majorHAnsi" w:cstheme="majorHAnsi"/>
                              <w:color w:val="92111D" w:themeColor="accent2"/>
                              <w:sz w:val="20"/>
                              <w:szCs w:val="20"/>
                            </w:rPr>
                          </w:pPr>
                          <w:r w:rsidRPr="008C4918">
                            <w:rPr>
                              <w:rFonts w:asciiTheme="majorHAnsi" w:hAnsiTheme="majorHAnsi" w:cstheme="majorHAnsi"/>
                              <w:color w:val="92111D" w:themeColor="accent2"/>
                              <w:sz w:val="20"/>
                              <w:szCs w:val="20"/>
                            </w:rPr>
                            <w:t xml:space="preserve">ABN: 96 206 448 228 </w:t>
                          </w:r>
                          <w:proofErr w:type="spellStart"/>
                          <w:r w:rsidRPr="008C4918">
                            <w:rPr>
                              <w:rFonts w:asciiTheme="majorHAnsi" w:hAnsiTheme="majorHAnsi" w:cstheme="majorHAnsi"/>
                              <w:color w:val="92111D" w:themeColor="accent2"/>
                              <w:sz w:val="20"/>
                              <w:szCs w:val="20"/>
                            </w:rPr>
                            <w:t>Reg</w:t>
                          </w:r>
                          <w:proofErr w:type="spellEnd"/>
                          <w:r w:rsidRPr="008C4918">
                            <w:rPr>
                              <w:rFonts w:asciiTheme="majorHAnsi" w:hAnsiTheme="majorHAnsi" w:cstheme="majorHAnsi"/>
                              <w:color w:val="92111D" w:themeColor="accent2"/>
                              <w:sz w:val="20"/>
                              <w:szCs w:val="20"/>
                            </w:rPr>
                            <w:t>: A0013997D</w:t>
                          </w:r>
                        </w:p>
                        <w:p w14:paraId="6ACD3CA4" w14:textId="77777777" w:rsidR="00B97116" w:rsidRPr="008C4918" w:rsidRDefault="00B97116" w:rsidP="00B97116">
                          <w:pPr>
                            <w:pStyle w:val="Default"/>
                            <w:jc w:val="center"/>
                            <w:rPr>
                              <w:rFonts w:asciiTheme="majorHAnsi" w:hAnsiTheme="majorHAnsi" w:cstheme="majorHAnsi"/>
                              <w:i/>
                              <w:color w:val="92111D" w:themeColor="accent2"/>
                              <w:sz w:val="20"/>
                              <w:szCs w:val="20"/>
                            </w:rPr>
                          </w:pPr>
                          <w:r w:rsidRPr="008C4918">
                            <w:rPr>
                              <w:rFonts w:asciiTheme="majorHAnsi" w:hAnsiTheme="majorHAnsi" w:cstheme="majorHAnsi"/>
                              <w:color w:val="92111D" w:themeColor="accent2"/>
                              <w:sz w:val="20"/>
                              <w:szCs w:val="20"/>
                            </w:rPr>
                            <w:t>5 Osborne Avenue, Springvale VIC 3171</w:t>
                          </w:r>
                        </w:p>
                        <w:p w14:paraId="5E9C567D" w14:textId="77777777" w:rsidR="00B97116" w:rsidRPr="008C4918" w:rsidRDefault="00B97116" w:rsidP="00B97116">
                          <w:pPr>
                            <w:pStyle w:val="Default"/>
                            <w:jc w:val="center"/>
                            <w:rPr>
                              <w:rFonts w:asciiTheme="majorHAnsi" w:hAnsiTheme="majorHAnsi" w:cstheme="majorHAnsi"/>
                              <w:color w:val="92111D" w:themeColor="accent2"/>
                              <w:sz w:val="20"/>
                              <w:szCs w:val="20"/>
                            </w:rPr>
                          </w:pPr>
                          <w:r w:rsidRPr="008C4918">
                            <w:rPr>
                              <w:rFonts w:asciiTheme="majorHAnsi" w:hAnsiTheme="majorHAnsi" w:cstheme="majorHAnsi"/>
                              <w:color w:val="92111D" w:themeColor="accent2"/>
                              <w:sz w:val="20"/>
                              <w:szCs w:val="20"/>
                            </w:rPr>
                            <w:t xml:space="preserve">PO Box 312, Springvale VIC 3171 </w:t>
                          </w:r>
                          <w:r w:rsidRPr="008C4918">
                            <w:rPr>
                              <w:rFonts w:asciiTheme="majorHAnsi" w:hAnsiTheme="majorHAnsi" w:cstheme="majorHAnsi"/>
                              <w:bCs/>
                              <w:color w:val="92111D" w:themeColor="accent2"/>
                              <w:sz w:val="20"/>
                              <w:szCs w:val="20"/>
                            </w:rPr>
                            <w:t>T</w:t>
                          </w:r>
                          <w:r w:rsidRPr="008C4918">
                            <w:rPr>
                              <w:rFonts w:asciiTheme="majorHAnsi" w:hAnsiTheme="majorHAnsi" w:cstheme="majorHAnsi"/>
                              <w:color w:val="92111D" w:themeColor="accent2"/>
                              <w:sz w:val="20"/>
                              <w:szCs w:val="20"/>
                            </w:rPr>
                            <w:t xml:space="preserve">. 03 9545 7400 </w:t>
                          </w:r>
                          <w:r w:rsidRPr="008C4918">
                            <w:rPr>
                              <w:rFonts w:asciiTheme="majorHAnsi" w:hAnsiTheme="majorHAnsi" w:cstheme="majorHAnsi"/>
                              <w:bCs/>
                              <w:color w:val="92111D" w:themeColor="accent2"/>
                              <w:sz w:val="20"/>
                              <w:szCs w:val="20"/>
                            </w:rPr>
                            <w:t>F</w:t>
                          </w:r>
                          <w:r w:rsidRPr="008C4918">
                            <w:rPr>
                              <w:rFonts w:asciiTheme="majorHAnsi" w:hAnsiTheme="majorHAnsi" w:cstheme="majorHAnsi"/>
                              <w:color w:val="92111D" w:themeColor="accent2"/>
                              <w:sz w:val="20"/>
                              <w:szCs w:val="20"/>
                            </w:rPr>
                            <w:t>. 03 9562 4534</w:t>
                          </w:r>
                        </w:p>
                        <w:p w14:paraId="2EAEDD71" w14:textId="77777777" w:rsidR="00B97116" w:rsidRPr="008C4918" w:rsidRDefault="00B97116" w:rsidP="00B97116">
                          <w:pPr>
                            <w:pStyle w:val="Footer"/>
                            <w:jc w:val="center"/>
                            <w:rPr>
                              <w:rFonts w:asciiTheme="majorHAnsi" w:hAnsiTheme="majorHAnsi" w:cstheme="majorHAnsi"/>
                              <w:color w:val="FF0000"/>
                              <w:sz w:val="20"/>
                              <w:szCs w:val="20"/>
                            </w:rPr>
                          </w:pPr>
                          <w:r w:rsidRPr="008C4918">
                            <w:rPr>
                              <w:rFonts w:asciiTheme="majorHAnsi" w:hAnsiTheme="majorHAnsi" w:cstheme="majorHAnsi"/>
                              <w:color w:val="92111D" w:themeColor="accent2"/>
                              <w:sz w:val="20"/>
                              <w:szCs w:val="20"/>
                            </w:rPr>
                            <w:t>info@smls.org.au www.smls.org.au</w:t>
                          </w:r>
                        </w:p>
                        <w:p w14:paraId="0571FE56" w14:textId="77777777" w:rsidR="00B97116" w:rsidRPr="00B97116" w:rsidRDefault="00B97116" w:rsidP="00B97116">
                          <w:pPr>
                            <w:rPr>
                              <w:rFonts w:asciiTheme="majorHAnsi" w:hAnsiTheme="majorHAnsi" w:cstheme="maj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FF022" id="_x0000_t202" coordsize="21600,21600" o:spt="202" path="m,l,21600r21600,l21600,xe">
              <v:stroke joinstyle="miter"/>
              <v:path gradientshapeok="t" o:connecttype="rect"/>
            </v:shapetype>
            <v:shape id="Text Box 4" o:spid="_x0000_s1027" type="#_x0000_t202" style="position:absolute;margin-left:52.5pt;margin-top:750.5pt;width:355.8pt;height:10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" stroked="f">
              <v:textbox>
                <w:txbxContent>
                  <w:p w14:paraId="43DDFBB8" w14:textId="77777777" w:rsidR="00B97116" w:rsidRPr="008C4918" w:rsidRDefault="00B97116" w:rsidP="00B97116">
                    <w:pPr>
                      <w:pStyle w:val="Default"/>
                      <w:jc w:val="center"/>
                      <w:rPr>
                        <w:rFonts w:asciiTheme="majorHAnsi" w:hAnsiTheme="majorHAnsi" w:cstheme="majorHAnsi"/>
                        <w:color w:val="92111D" w:themeColor="accent2"/>
                        <w:sz w:val="20"/>
                        <w:szCs w:val="20"/>
                      </w:rPr>
                    </w:pPr>
                    <w:r w:rsidRPr="008C4918">
                      <w:rPr>
                        <w:rFonts w:asciiTheme="majorHAnsi" w:hAnsiTheme="majorHAnsi" w:cstheme="majorHAnsi"/>
                        <w:color w:val="92111D" w:themeColor="accent2"/>
                        <w:sz w:val="20"/>
                        <w:szCs w:val="20"/>
                      </w:rPr>
                      <w:t xml:space="preserve">Springvale Monash Legal Service Inc. </w:t>
                    </w:r>
                  </w:p>
                  <w:p w14:paraId="7A034725" w14:textId="360E9CCF" w:rsidR="00B97116" w:rsidRPr="008C4918" w:rsidRDefault="00B97116" w:rsidP="00B97116">
                    <w:pPr>
                      <w:pStyle w:val="Default"/>
                      <w:jc w:val="center"/>
                      <w:rPr>
                        <w:rFonts w:asciiTheme="majorHAnsi" w:hAnsiTheme="majorHAnsi" w:cstheme="majorHAnsi"/>
                        <w:color w:val="92111D" w:themeColor="accent2"/>
                        <w:sz w:val="20"/>
                        <w:szCs w:val="20"/>
                      </w:rPr>
                    </w:pPr>
                    <w:r w:rsidRPr="008C4918">
                      <w:rPr>
                        <w:rFonts w:asciiTheme="majorHAnsi" w:hAnsiTheme="majorHAnsi" w:cstheme="majorHAnsi"/>
                        <w:color w:val="92111D" w:themeColor="accent2"/>
                        <w:sz w:val="20"/>
                        <w:szCs w:val="20"/>
                      </w:rPr>
                      <w:t xml:space="preserve">ABN: 96 206 448 228 </w:t>
                    </w:r>
                    <w:proofErr w:type="spellStart"/>
                    <w:r w:rsidRPr="008C4918">
                      <w:rPr>
                        <w:rFonts w:asciiTheme="majorHAnsi" w:hAnsiTheme="majorHAnsi" w:cstheme="majorHAnsi"/>
                        <w:color w:val="92111D" w:themeColor="accent2"/>
                        <w:sz w:val="20"/>
                        <w:szCs w:val="20"/>
                      </w:rPr>
                      <w:t>Reg</w:t>
                    </w:r>
                    <w:proofErr w:type="spellEnd"/>
                    <w:r w:rsidRPr="008C4918">
                      <w:rPr>
                        <w:rFonts w:asciiTheme="majorHAnsi" w:hAnsiTheme="majorHAnsi" w:cstheme="majorHAnsi"/>
                        <w:color w:val="92111D" w:themeColor="accent2"/>
                        <w:sz w:val="20"/>
                        <w:szCs w:val="20"/>
                      </w:rPr>
                      <w:t>: A0013997D</w:t>
                    </w:r>
                  </w:p>
                  <w:p w14:paraId="6ACD3CA4" w14:textId="77777777" w:rsidR="00B97116" w:rsidRPr="008C4918" w:rsidRDefault="00B97116" w:rsidP="00B97116">
                    <w:pPr>
                      <w:pStyle w:val="Default"/>
                      <w:jc w:val="center"/>
                      <w:rPr>
                        <w:rFonts w:asciiTheme="majorHAnsi" w:hAnsiTheme="majorHAnsi" w:cstheme="majorHAnsi"/>
                        <w:i/>
                        <w:color w:val="92111D" w:themeColor="accent2"/>
                        <w:sz w:val="20"/>
                        <w:szCs w:val="20"/>
                      </w:rPr>
                    </w:pPr>
                    <w:r w:rsidRPr="008C4918">
                      <w:rPr>
                        <w:rFonts w:asciiTheme="majorHAnsi" w:hAnsiTheme="majorHAnsi" w:cstheme="majorHAnsi"/>
                        <w:color w:val="92111D" w:themeColor="accent2"/>
                        <w:sz w:val="20"/>
                        <w:szCs w:val="20"/>
                      </w:rPr>
                      <w:t>5 Osborne Avenue, Springvale VIC 3171</w:t>
                    </w:r>
                  </w:p>
                  <w:p w14:paraId="5E9C567D" w14:textId="77777777" w:rsidR="00B97116" w:rsidRPr="008C4918" w:rsidRDefault="00B97116" w:rsidP="00B97116">
                    <w:pPr>
                      <w:pStyle w:val="Default"/>
                      <w:jc w:val="center"/>
                      <w:rPr>
                        <w:rFonts w:asciiTheme="majorHAnsi" w:hAnsiTheme="majorHAnsi" w:cstheme="majorHAnsi"/>
                        <w:color w:val="92111D" w:themeColor="accent2"/>
                        <w:sz w:val="20"/>
                        <w:szCs w:val="20"/>
                      </w:rPr>
                    </w:pPr>
                    <w:r w:rsidRPr="008C4918">
                      <w:rPr>
                        <w:rFonts w:asciiTheme="majorHAnsi" w:hAnsiTheme="majorHAnsi" w:cstheme="majorHAnsi"/>
                        <w:color w:val="92111D" w:themeColor="accent2"/>
                        <w:sz w:val="20"/>
                        <w:szCs w:val="20"/>
                      </w:rPr>
                      <w:t xml:space="preserve">PO Box 312, Springvale VIC 3171 </w:t>
                    </w:r>
                    <w:r w:rsidRPr="008C4918">
                      <w:rPr>
                        <w:rFonts w:asciiTheme="majorHAnsi" w:hAnsiTheme="majorHAnsi" w:cstheme="majorHAnsi"/>
                        <w:bCs/>
                        <w:color w:val="92111D" w:themeColor="accent2"/>
                        <w:sz w:val="20"/>
                        <w:szCs w:val="20"/>
                      </w:rPr>
                      <w:t>T</w:t>
                    </w:r>
                    <w:r w:rsidRPr="008C4918">
                      <w:rPr>
                        <w:rFonts w:asciiTheme="majorHAnsi" w:hAnsiTheme="majorHAnsi" w:cstheme="majorHAnsi"/>
                        <w:color w:val="92111D" w:themeColor="accent2"/>
                        <w:sz w:val="20"/>
                        <w:szCs w:val="20"/>
                      </w:rPr>
                      <w:t xml:space="preserve">. 03 9545 7400 </w:t>
                    </w:r>
                    <w:r w:rsidRPr="008C4918">
                      <w:rPr>
                        <w:rFonts w:asciiTheme="majorHAnsi" w:hAnsiTheme="majorHAnsi" w:cstheme="majorHAnsi"/>
                        <w:bCs/>
                        <w:color w:val="92111D" w:themeColor="accent2"/>
                        <w:sz w:val="20"/>
                        <w:szCs w:val="20"/>
                      </w:rPr>
                      <w:t>F</w:t>
                    </w:r>
                    <w:r w:rsidRPr="008C4918">
                      <w:rPr>
                        <w:rFonts w:asciiTheme="majorHAnsi" w:hAnsiTheme="majorHAnsi" w:cstheme="majorHAnsi"/>
                        <w:color w:val="92111D" w:themeColor="accent2"/>
                        <w:sz w:val="20"/>
                        <w:szCs w:val="20"/>
                      </w:rPr>
                      <w:t>. 03 9562 4534</w:t>
                    </w:r>
                  </w:p>
                  <w:p w14:paraId="2EAEDD71" w14:textId="77777777" w:rsidR="00B97116" w:rsidRPr="008C4918" w:rsidRDefault="00B97116" w:rsidP="00B97116">
                    <w:pPr>
                      <w:pStyle w:val="Footer"/>
                      <w:jc w:val="center"/>
                      <w:rPr>
                        <w:rFonts w:asciiTheme="majorHAnsi" w:hAnsiTheme="majorHAnsi" w:cstheme="majorHAnsi"/>
                        <w:color w:val="FF0000"/>
                        <w:sz w:val="20"/>
                        <w:szCs w:val="20"/>
                      </w:rPr>
                    </w:pPr>
                    <w:r w:rsidRPr="008C4918">
                      <w:rPr>
                        <w:rFonts w:asciiTheme="majorHAnsi" w:hAnsiTheme="majorHAnsi" w:cstheme="majorHAnsi"/>
                        <w:color w:val="92111D" w:themeColor="accent2"/>
                        <w:sz w:val="20"/>
                        <w:szCs w:val="20"/>
                      </w:rPr>
                      <w:t>info@smls.org.au www.smls.org.au</w:t>
                    </w:r>
                  </w:p>
                  <w:p w14:paraId="0571FE56" w14:textId="77777777" w:rsidR="00B97116" w:rsidRPr="00B97116" w:rsidRDefault="00B97116" w:rsidP="00B97116">
                    <w:pPr>
                      <w:rPr>
                        <w:rFonts w:asciiTheme="majorHAnsi" w:hAnsiTheme="majorHAnsi" w:cstheme="majorHAnsi"/>
                        <w:sz w:val="20"/>
                        <w:szCs w:val="20"/>
                      </w:rPr>
                    </w:pPr>
                  </w:p>
                </w:txbxContent>
              </v:textbox>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81829C" w14:textId="77777777" w:rsidR="00442D33" w:rsidRDefault="00442D33" w:rsidP="00FE47A4">
      <w:pPr>
        <w:spacing w:after="0" w:line="240" w:lineRule="auto"/>
      </w:pPr>
      <w:r>
        <w:separator/>
      </w:r>
    </w:p>
  </w:footnote>
  <w:footnote w:type="continuationSeparator" w:id="0">
    <w:p w14:paraId="3C80E5F3" w14:textId="77777777" w:rsidR="00442D33" w:rsidRDefault="00442D33" w:rsidP="00FE47A4">
      <w:pPr>
        <w:spacing w:after="0" w:line="240" w:lineRule="auto"/>
      </w:pPr>
      <w:r>
        <w:continuationSeparator/>
      </w:r>
    </w:p>
  </w:footnote>
  <w:footnote w:id="1">
    <w:p w14:paraId="2ADE2693" w14:textId="36605BEE" w:rsidR="00595544" w:rsidRPr="004A5B22" w:rsidRDefault="00595544" w:rsidP="00595544">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008E2024" w:rsidRPr="004A5B22">
        <w:rPr>
          <w:rFonts w:asciiTheme="majorHAnsi" w:hAnsiTheme="majorHAnsi" w:cstheme="majorHAnsi"/>
          <w:sz w:val="18"/>
          <w:szCs w:val="18"/>
        </w:rPr>
        <w:t xml:space="preserve"> </w:t>
      </w:r>
      <w:r w:rsidR="00A217A1" w:rsidRPr="004A5B22">
        <w:rPr>
          <w:rFonts w:asciiTheme="majorHAnsi" w:hAnsiTheme="majorHAnsi" w:cstheme="majorHAnsi"/>
          <w:sz w:val="18"/>
          <w:szCs w:val="18"/>
        </w:rPr>
        <w:t xml:space="preserve">Monthly </w:t>
      </w:r>
      <w:proofErr w:type="spellStart"/>
      <w:r w:rsidR="00A217A1" w:rsidRPr="004A5B22">
        <w:rPr>
          <w:rFonts w:asciiTheme="majorHAnsi" w:hAnsiTheme="majorHAnsi" w:cstheme="majorHAnsi"/>
          <w:sz w:val="18"/>
          <w:szCs w:val="18"/>
        </w:rPr>
        <w:t>LGA</w:t>
      </w:r>
      <w:proofErr w:type="spellEnd"/>
      <w:r w:rsidR="00A217A1" w:rsidRPr="004A5B22">
        <w:rPr>
          <w:rFonts w:asciiTheme="majorHAnsi" w:hAnsiTheme="majorHAnsi" w:cstheme="majorHAnsi"/>
          <w:sz w:val="18"/>
          <w:szCs w:val="18"/>
        </w:rPr>
        <w:t xml:space="preserve"> EGM Statistics, July 2018, Victorian Commission for Liquor and Gambling Regulation, accessed August 2018: </w:t>
      </w:r>
      <w:r w:rsidRPr="004A5B22">
        <w:rPr>
          <w:rFonts w:asciiTheme="majorHAnsi" w:hAnsiTheme="majorHAnsi" w:cstheme="majorHAnsi"/>
          <w:sz w:val="18"/>
          <w:szCs w:val="18"/>
        </w:rPr>
        <w:t>https://www.vcgr.vic.gov.au/CA256F800017E8D4/VCGLR/2C4FB00D26AF1EFFCA257B320078D3F5?OpenDocument</w:t>
      </w:r>
    </w:p>
  </w:footnote>
  <w:footnote w:id="2">
    <w:p w14:paraId="03E82366" w14:textId="352176FC" w:rsidR="00A57C0D" w:rsidRPr="004A5B22" w:rsidRDefault="00A57C0D" w:rsidP="00A57C0D">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00A217A1" w:rsidRPr="004A5B22">
        <w:rPr>
          <w:rFonts w:asciiTheme="majorHAnsi" w:hAnsiTheme="majorHAnsi" w:cstheme="majorHAnsi"/>
          <w:sz w:val="18"/>
          <w:szCs w:val="18"/>
        </w:rPr>
        <w:t xml:space="preserve"> McMillen, J. and Marshall, D. </w:t>
      </w:r>
      <w:r w:rsidRPr="004A5B22">
        <w:rPr>
          <w:rFonts w:asciiTheme="majorHAnsi" w:hAnsiTheme="majorHAnsi" w:cstheme="majorHAnsi"/>
          <w:sz w:val="18"/>
          <w:szCs w:val="18"/>
        </w:rPr>
        <w:t>2004. 2003 Longitudinal Community Attitudes Survey. Gambling Research</w:t>
      </w:r>
    </w:p>
    <w:p w14:paraId="7BA2B134" w14:textId="77777777" w:rsidR="00A57C0D" w:rsidRPr="004A5B22" w:rsidRDefault="00A57C0D" w:rsidP="00A57C0D">
      <w:pPr>
        <w:pStyle w:val="FootnoteText"/>
        <w:rPr>
          <w:rFonts w:asciiTheme="majorHAnsi" w:hAnsiTheme="majorHAnsi" w:cstheme="majorHAnsi"/>
          <w:sz w:val="18"/>
          <w:szCs w:val="18"/>
        </w:rPr>
      </w:pPr>
      <w:r w:rsidRPr="004A5B22">
        <w:rPr>
          <w:rFonts w:asciiTheme="majorHAnsi" w:hAnsiTheme="majorHAnsi" w:cstheme="majorHAnsi"/>
          <w:sz w:val="18"/>
          <w:szCs w:val="18"/>
        </w:rPr>
        <w:t>Panel Report No. 6, Melbourne, Victoria.</w:t>
      </w:r>
    </w:p>
  </w:footnote>
  <w:footnote w:id="3">
    <w:p w14:paraId="622EEFB8" w14:textId="3AA31BE7" w:rsidR="00B955B1" w:rsidRPr="004A5B22" w:rsidRDefault="00B955B1" w:rsidP="00B955B1">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The Pokies Play You, 2018, citing the Victorian Commission for Gambling &amp; Liquor Regulation 2017 (EGM gambling losses and EGM numbers) and the Victorian Department of Environment, Land, Water an</w:t>
      </w:r>
      <w:r w:rsidR="00852D7B" w:rsidRPr="004A5B22">
        <w:rPr>
          <w:rFonts w:asciiTheme="majorHAnsi" w:hAnsiTheme="majorHAnsi" w:cstheme="majorHAnsi"/>
          <w:sz w:val="18"/>
          <w:szCs w:val="18"/>
        </w:rPr>
        <w:t>d Planning 2017 (population).</w:t>
      </w:r>
    </w:p>
  </w:footnote>
  <w:footnote w:id="4">
    <w:p w14:paraId="33902602" w14:textId="43F65B75" w:rsidR="00852D7B" w:rsidRPr="004A5B22" w:rsidRDefault="00852D7B">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w:t>
      </w:r>
      <w:r w:rsidR="0097121B" w:rsidRPr="004A5B22">
        <w:rPr>
          <w:rFonts w:asciiTheme="majorHAnsi" w:hAnsiTheme="majorHAnsi" w:cstheme="majorHAnsi"/>
          <w:sz w:val="18"/>
          <w:szCs w:val="18"/>
        </w:rPr>
        <w:t>Brown, 2018, Gambling Related Issues for Local Government, City of Greater Dandenong, accessed August 2018: http://www.greaterdandenong.com/document/18464/statistical-data-for-victorian-communities</w:t>
      </w:r>
      <w:r w:rsidR="00A217A1" w:rsidRPr="004A5B22">
        <w:rPr>
          <w:rFonts w:asciiTheme="majorHAnsi" w:hAnsiTheme="majorHAnsi" w:cstheme="majorHAnsi"/>
          <w:sz w:val="18"/>
          <w:szCs w:val="18"/>
        </w:rPr>
        <w:t xml:space="preserve"> </w:t>
      </w:r>
    </w:p>
  </w:footnote>
  <w:footnote w:id="5">
    <w:p w14:paraId="38CB77EF" w14:textId="1F8C8C50" w:rsidR="008F0250" w:rsidRPr="004A5B22" w:rsidRDefault="008F0250" w:rsidP="008F0250">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w:t>
      </w:r>
      <w:r w:rsidR="006F6FAD" w:rsidRPr="004A5B22">
        <w:rPr>
          <w:rFonts w:asciiTheme="majorHAnsi" w:eastAsia="Calibri" w:hAnsiTheme="majorHAnsi" w:cstheme="majorHAnsi"/>
          <w:sz w:val="18"/>
          <w:szCs w:val="18"/>
          <w:lang w:val="en-US"/>
        </w:rPr>
        <w:t>Productivity Commission, 2010, Gambling: Productivity Commission Inquiry Report - Volume 1</w:t>
      </w:r>
    </w:p>
  </w:footnote>
  <w:footnote w:id="6">
    <w:p w14:paraId="70C4D0C1" w14:textId="50C16ED4" w:rsidR="008F0250" w:rsidRPr="004A5B22" w:rsidRDefault="008F0250" w:rsidP="008F0250">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Neal, </w:t>
      </w:r>
      <w:r w:rsidR="006F6FAD" w:rsidRPr="004A5B22">
        <w:rPr>
          <w:rFonts w:asciiTheme="majorHAnsi" w:hAnsiTheme="majorHAnsi" w:cstheme="majorHAnsi"/>
          <w:sz w:val="18"/>
          <w:szCs w:val="18"/>
        </w:rPr>
        <w:t xml:space="preserve">P.; </w:t>
      </w:r>
      <w:proofErr w:type="spellStart"/>
      <w:r w:rsidR="006F6FAD" w:rsidRPr="004A5B22">
        <w:rPr>
          <w:rFonts w:asciiTheme="majorHAnsi" w:hAnsiTheme="majorHAnsi" w:cstheme="majorHAnsi"/>
          <w:sz w:val="18"/>
          <w:szCs w:val="18"/>
        </w:rPr>
        <w:t>Delfabbro</w:t>
      </w:r>
      <w:proofErr w:type="spellEnd"/>
      <w:r w:rsidR="006F6FAD" w:rsidRPr="004A5B22">
        <w:rPr>
          <w:rFonts w:asciiTheme="majorHAnsi" w:hAnsiTheme="majorHAnsi" w:cstheme="majorHAnsi"/>
          <w:sz w:val="18"/>
          <w:szCs w:val="18"/>
        </w:rPr>
        <w:t xml:space="preserve">, P. &amp; O’Neal, M., </w:t>
      </w:r>
      <w:r w:rsidRPr="004A5B22">
        <w:rPr>
          <w:rFonts w:asciiTheme="majorHAnsi" w:hAnsiTheme="majorHAnsi" w:cstheme="majorHAnsi"/>
          <w:sz w:val="18"/>
          <w:szCs w:val="18"/>
        </w:rPr>
        <w:t>2005, Problem Gambling and Harm: Towards a National Definition, Gambling Research Australia. Retrieved September 21, 2012 from http://www.adelaide.edu.au</w:t>
      </w:r>
    </w:p>
  </w:footnote>
  <w:footnote w:id="7">
    <w:p w14:paraId="6CBA00E2" w14:textId="323E00F5" w:rsidR="0017406B" w:rsidRPr="004A5B22" w:rsidRDefault="0017406B" w:rsidP="006F6FAD">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006F6FAD" w:rsidRPr="004A5B22">
        <w:rPr>
          <w:rFonts w:asciiTheme="majorHAnsi" w:hAnsiTheme="majorHAnsi" w:cstheme="majorHAnsi"/>
          <w:sz w:val="18"/>
          <w:szCs w:val="18"/>
        </w:rPr>
        <w:t xml:space="preserve"> Centre for Innovative Justice, 2017, Compulsion, convergence or crime?</w:t>
      </w:r>
      <w:r w:rsidRPr="004A5B22">
        <w:rPr>
          <w:rFonts w:asciiTheme="majorHAnsi" w:hAnsiTheme="majorHAnsi" w:cstheme="majorHAnsi"/>
          <w:sz w:val="18"/>
          <w:szCs w:val="18"/>
        </w:rPr>
        <w:t xml:space="preserve"> </w:t>
      </w:r>
      <w:proofErr w:type="spellStart"/>
      <w:r w:rsidR="006F6FAD" w:rsidRPr="004A5B22">
        <w:rPr>
          <w:rFonts w:asciiTheme="majorHAnsi" w:hAnsiTheme="majorHAnsi" w:cstheme="majorHAnsi"/>
          <w:sz w:val="18"/>
          <w:szCs w:val="18"/>
        </w:rPr>
        <w:t>RMIT</w:t>
      </w:r>
      <w:proofErr w:type="spellEnd"/>
      <w:r w:rsidR="006F6FAD" w:rsidRPr="004A5B22">
        <w:rPr>
          <w:rFonts w:asciiTheme="majorHAnsi" w:hAnsiTheme="majorHAnsi" w:cstheme="majorHAnsi"/>
          <w:sz w:val="18"/>
          <w:szCs w:val="18"/>
        </w:rPr>
        <w:t xml:space="preserve"> University, accessed August 2018: </w:t>
      </w:r>
      <w:r w:rsidRPr="004A5B22">
        <w:rPr>
          <w:rFonts w:asciiTheme="majorHAnsi" w:hAnsiTheme="majorHAnsi" w:cstheme="majorHAnsi"/>
          <w:sz w:val="18"/>
          <w:szCs w:val="18"/>
        </w:rPr>
        <w:t>https://www.rmit.edu.au/content/dam/rmit/documents/college-of-business/graduate-school-of-business-and-law/Gambling-Harm-Report.pdf</w:t>
      </w:r>
    </w:p>
  </w:footnote>
  <w:footnote w:id="8">
    <w:p w14:paraId="530C7652" w14:textId="493E4847" w:rsidR="0083268D" w:rsidRPr="004A5B22" w:rsidRDefault="0083268D">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Financial gains for state and territory governments have been estimated to be between $12.1 and $15.8 billion- </w:t>
      </w:r>
      <w:r w:rsidR="006F6FAD" w:rsidRPr="004A5B22">
        <w:rPr>
          <w:rFonts w:asciiTheme="majorHAnsi" w:hAnsiTheme="majorHAnsi" w:cstheme="majorHAnsi"/>
          <w:sz w:val="18"/>
          <w:szCs w:val="18"/>
        </w:rPr>
        <w:t>Productivity Commission, 2010, Gambling: Productivity Commission Inquiry Report - Volume 1</w:t>
      </w:r>
    </w:p>
  </w:footnote>
  <w:footnote w:id="9">
    <w:p w14:paraId="29A0452C" w14:textId="1470CC30" w:rsidR="00595544" w:rsidRPr="004A5B22" w:rsidRDefault="00595544" w:rsidP="00595544">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Browne, M. et al., </w:t>
      </w:r>
      <w:r w:rsidR="006F6FAD" w:rsidRPr="004A5B22">
        <w:rPr>
          <w:rFonts w:asciiTheme="majorHAnsi" w:hAnsiTheme="majorHAnsi" w:cstheme="majorHAnsi"/>
          <w:sz w:val="18"/>
          <w:szCs w:val="18"/>
        </w:rPr>
        <w:t xml:space="preserve">2016, </w:t>
      </w:r>
      <w:r w:rsidRPr="004A5B22">
        <w:rPr>
          <w:rFonts w:asciiTheme="majorHAnsi" w:hAnsiTheme="majorHAnsi" w:cstheme="majorHAnsi"/>
          <w:sz w:val="18"/>
          <w:szCs w:val="18"/>
        </w:rPr>
        <w:t>Assessing gambling-related harm in Victoria: a public health perspective,</w:t>
      </w:r>
      <w:r w:rsidR="006F6FAD" w:rsidRPr="004A5B22">
        <w:rPr>
          <w:rFonts w:asciiTheme="majorHAnsi" w:hAnsiTheme="majorHAnsi" w:cstheme="majorHAnsi"/>
          <w:sz w:val="18"/>
          <w:szCs w:val="18"/>
        </w:rPr>
        <w:t xml:space="preserve"> </w:t>
      </w:r>
      <w:r w:rsidRPr="004A5B22">
        <w:rPr>
          <w:rFonts w:asciiTheme="majorHAnsi" w:hAnsiTheme="majorHAnsi" w:cstheme="majorHAnsi"/>
          <w:sz w:val="18"/>
          <w:szCs w:val="18"/>
        </w:rPr>
        <w:t>Melbourne: Victorian Re</w:t>
      </w:r>
      <w:r w:rsidR="006F6FAD" w:rsidRPr="004A5B22">
        <w:rPr>
          <w:rFonts w:asciiTheme="majorHAnsi" w:hAnsiTheme="majorHAnsi" w:cstheme="majorHAnsi"/>
          <w:sz w:val="18"/>
          <w:szCs w:val="18"/>
        </w:rPr>
        <w:t>sponsible Gambling Foundation</w:t>
      </w:r>
    </w:p>
  </w:footnote>
  <w:footnote w:id="10">
    <w:p w14:paraId="4B6E0C6D" w14:textId="0A5D2D49" w:rsidR="006F6FAD" w:rsidRPr="004A5B22" w:rsidRDefault="00B203EA" w:rsidP="006F6FAD">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006F6FAD" w:rsidRPr="004A5B22">
        <w:rPr>
          <w:rFonts w:asciiTheme="majorHAnsi" w:hAnsiTheme="majorHAnsi" w:cstheme="majorHAnsi"/>
          <w:sz w:val="18"/>
          <w:szCs w:val="18"/>
        </w:rPr>
        <w:t xml:space="preserve"> Australian Institute of Family Studies, 2016, Tale of two suburbs: Gambling in suburban Australia, Media Release, accessed August 2018: </w:t>
      </w:r>
    </w:p>
    <w:p w14:paraId="2C18D1CA" w14:textId="6ED8D78C" w:rsidR="00B203EA" w:rsidRPr="004A5B22" w:rsidRDefault="00B203EA" w:rsidP="006F6FAD">
      <w:pPr>
        <w:pStyle w:val="FootnoteText"/>
        <w:rPr>
          <w:rFonts w:asciiTheme="majorHAnsi" w:hAnsiTheme="majorHAnsi" w:cstheme="majorHAnsi"/>
          <w:sz w:val="18"/>
          <w:szCs w:val="18"/>
        </w:rPr>
      </w:pPr>
      <w:r w:rsidRPr="004A5B22">
        <w:rPr>
          <w:rFonts w:asciiTheme="majorHAnsi" w:hAnsiTheme="majorHAnsi" w:cstheme="majorHAnsi"/>
          <w:sz w:val="18"/>
          <w:szCs w:val="18"/>
        </w:rPr>
        <w:t>https://aifs.gov.au/media-releases/tale-two-suburbs-gambling-suburban-australia</w:t>
      </w:r>
    </w:p>
  </w:footnote>
  <w:footnote w:id="11">
    <w:p w14:paraId="62EC4B3F" w14:textId="5973A124" w:rsidR="006F6FAD" w:rsidRPr="004A5B22" w:rsidRDefault="006F6FAD">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w:t>
      </w:r>
      <w:r w:rsidR="0097121B" w:rsidRPr="004A5B22">
        <w:rPr>
          <w:rFonts w:asciiTheme="majorHAnsi" w:hAnsiTheme="majorHAnsi" w:cstheme="majorHAnsi"/>
          <w:sz w:val="18"/>
          <w:szCs w:val="18"/>
        </w:rPr>
        <w:t>Brown, 2018, Gambling Related Issues for Local Government, City of Greater Dandenong, accessed August 2018: http://www.greaterdandenong.com/document/18464/statistical-data-for-victorian-communities</w:t>
      </w:r>
    </w:p>
  </w:footnote>
  <w:footnote w:id="12">
    <w:p w14:paraId="524D3986" w14:textId="5E7A144D" w:rsidR="006F6FAD" w:rsidRPr="004A5B22" w:rsidRDefault="006F6FAD">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Brown, 2018, Gambling Related Issues for Local Government, City of Greater Dandenong, accessed August </w:t>
      </w:r>
      <w:r w:rsidR="0097121B" w:rsidRPr="004A5B22">
        <w:rPr>
          <w:rFonts w:asciiTheme="majorHAnsi" w:hAnsiTheme="majorHAnsi" w:cstheme="majorHAnsi"/>
          <w:sz w:val="18"/>
          <w:szCs w:val="18"/>
        </w:rPr>
        <w:t>2018: http://www.greaterdandenong.com/document/18464/statistical-data-for-victorian-communities</w:t>
      </w:r>
    </w:p>
  </w:footnote>
  <w:footnote w:id="13">
    <w:p w14:paraId="4F34F824" w14:textId="6EC45F1D" w:rsidR="00B203EA" w:rsidRPr="004A5B22" w:rsidRDefault="00B203EA" w:rsidP="00B203EA">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w:t>
      </w:r>
      <w:r w:rsidR="0097121B" w:rsidRPr="004A5B22">
        <w:rPr>
          <w:rFonts w:asciiTheme="majorHAnsi" w:hAnsiTheme="majorHAnsi" w:cstheme="majorHAnsi"/>
          <w:sz w:val="18"/>
          <w:szCs w:val="18"/>
        </w:rPr>
        <w:t>ibid</w:t>
      </w:r>
    </w:p>
  </w:footnote>
  <w:footnote w:id="14">
    <w:p w14:paraId="7E5EF3E5" w14:textId="573D7FC7" w:rsidR="009E48BD" w:rsidRPr="004A5B22" w:rsidRDefault="009E48BD" w:rsidP="006309C9">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w:t>
      </w:r>
      <w:r w:rsidR="00DB0979" w:rsidRPr="004A5B22">
        <w:rPr>
          <w:rFonts w:asciiTheme="majorHAnsi" w:hAnsiTheme="majorHAnsi" w:cstheme="majorHAnsi"/>
          <w:sz w:val="18"/>
          <w:szCs w:val="18"/>
        </w:rPr>
        <w:t xml:space="preserve">Evidence, </w:t>
      </w:r>
      <w:r w:rsidR="006309C9" w:rsidRPr="004A5B22">
        <w:rPr>
          <w:rFonts w:asciiTheme="majorHAnsi" w:hAnsiTheme="majorHAnsi" w:cstheme="majorHAnsi"/>
          <w:sz w:val="18"/>
          <w:szCs w:val="18"/>
        </w:rPr>
        <w:t xml:space="preserve">2014, </w:t>
      </w:r>
      <w:r w:rsidR="00DB0979" w:rsidRPr="004A5B22">
        <w:rPr>
          <w:rFonts w:asciiTheme="majorHAnsi" w:hAnsiTheme="majorHAnsi" w:cstheme="majorHAnsi"/>
          <w:sz w:val="18"/>
          <w:szCs w:val="18"/>
        </w:rPr>
        <w:t>Ms Kirsten Shannon, Clinic Manager, Gambling Treatmen</w:t>
      </w:r>
      <w:r w:rsidR="006309C9" w:rsidRPr="004A5B22">
        <w:rPr>
          <w:rFonts w:asciiTheme="majorHAnsi" w:hAnsiTheme="majorHAnsi" w:cstheme="majorHAnsi"/>
          <w:sz w:val="18"/>
          <w:szCs w:val="18"/>
        </w:rPr>
        <w:t xml:space="preserve">t Clinic, University of Sydney, </w:t>
      </w:r>
      <w:r w:rsidR="00DB0979" w:rsidRPr="004A5B22">
        <w:rPr>
          <w:rFonts w:asciiTheme="majorHAnsi" w:hAnsiTheme="majorHAnsi" w:cstheme="majorHAnsi"/>
          <w:sz w:val="18"/>
          <w:szCs w:val="18"/>
        </w:rPr>
        <w:t xml:space="preserve">p 16, as quoted in </w:t>
      </w:r>
      <w:r w:rsidR="006309C9" w:rsidRPr="004A5B22">
        <w:rPr>
          <w:rFonts w:asciiTheme="majorHAnsi" w:hAnsiTheme="majorHAnsi" w:cstheme="majorHAnsi"/>
          <w:sz w:val="18"/>
          <w:szCs w:val="18"/>
        </w:rPr>
        <w:t xml:space="preserve">New South Wales. Parliament. Legislative Council. Select Committee on Gambling, 2014, </w:t>
      </w:r>
      <w:proofErr w:type="gramStart"/>
      <w:r w:rsidR="006309C9" w:rsidRPr="004A5B22">
        <w:rPr>
          <w:rFonts w:asciiTheme="majorHAnsi" w:hAnsiTheme="majorHAnsi" w:cstheme="majorHAnsi"/>
          <w:sz w:val="18"/>
          <w:szCs w:val="18"/>
        </w:rPr>
        <w:t>The</w:t>
      </w:r>
      <w:proofErr w:type="gramEnd"/>
      <w:r w:rsidR="006309C9" w:rsidRPr="004A5B22">
        <w:rPr>
          <w:rFonts w:asciiTheme="majorHAnsi" w:hAnsiTheme="majorHAnsi" w:cstheme="majorHAnsi"/>
          <w:sz w:val="18"/>
          <w:szCs w:val="18"/>
        </w:rPr>
        <w:t xml:space="preserve"> impact of Gambling / Select Committee on Gambling. [Sydney, </w:t>
      </w:r>
      <w:proofErr w:type="spellStart"/>
      <w:r w:rsidR="006309C9" w:rsidRPr="004A5B22">
        <w:rPr>
          <w:rFonts w:asciiTheme="majorHAnsi" w:hAnsiTheme="majorHAnsi" w:cstheme="majorHAnsi"/>
          <w:sz w:val="18"/>
          <w:szCs w:val="18"/>
        </w:rPr>
        <w:t>N.S.W</w:t>
      </w:r>
      <w:proofErr w:type="spellEnd"/>
      <w:r w:rsidR="006309C9" w:rsidRPr="004A5B22">
        <w:rPr>
          <w:rFonts w:asciiTheme="majorHAnsi" w:hAnsiTheme="majorHAnsi" w:cstheme="majorHAnsi"/>
          <w:sz w:val="18"/>
          <w:szCs w:val="18"/>
        </w:rPr>
        <w:t xml:space="preserve">.], report accessed August 2018: </w:t>
      </w:r>
      <w:r w:rsidR="00DB0979" w:rsidRPr="004A5B22">
        <w:rPr>
          <w:rFonts w:asciiTheme="majorHAnsi" w:hAnsiTheme="majorHAnsi" w:cstheme="majorHAnsi"/>
          <w:sz w:val="18"/>
          <w:szCs w:val="18"/>
        </w:rPr>
        <w:t>https://www.parliament.nsw.gov.au/lcdocs/inquiries/1974/Final%20Report.pdf</w:t>
      </w:r>
    </w:p>
  </w:footnote>
  <w:footnote w:id="15">
    <w:p w14:paraId="18238782" w14:textId="79C004C0" w:rsidR="004833C7" w:rsidRPr="004A5B22" w:rsidRDefault="004833C7" w:rsidP="004833C7">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00E07CE2" w:rsidRPr="004A5B22">
        <w:rPr>
          <w:rFonts w:asciiTheme="majorHAnsi" w:hAnsiTheme="majorHAnsi" w:cstheme="majorHAnsi"/>
          <w:sz w:val="18"/>
          <w:szCs w:val="18"/>
        </w:rPr>
        <w:t xml:space="preserve"> Langham, E. et al., 2016, </w:t>
      </w:r>
      <w:r w:rsidRPr="004A5B22">
        <w:rPr>
          <w:rFonts w:asciiTheme="majorHAnsi" w:hAnsiTheme="majorHAnsi" w:cstheme="majorHAnsi"/>
          <w:sz w:val="18"/>
          <w:szCs w:val="18"/>
        </w:rPr>
        <w:t>Understanding gambling related harm: a proposed definition, conceptual framework, and taxonomy of harms,</w:t>
      </w:r>
      <w:r w:rsidR="00E07CE2" w:rsidRPr="004A5B22">
        <w:rPr>
          <w:rFonts w:asciiTheme="majorHAnsi" w:hAnsiTheme="majorHAnsi" w:cstheme="majorHAnsi"/>
          <w:sz w:val="18"/>
          <w:szCs w:val="18"/>
        </w:rPr>
        <w:t xml:space="preserve"> BMC Public Health 16, no. 1</w:t>
      </w:r>
    </w:p>
  </w:footnote>
  <w:footnote w:id="16">
    <w:p w14:paraId="072EA2C6" w14:textId="4241EFFF" w:rsidR="00AC1A2A" w:rsidRPr="004A5B22" w:rsidRDefault="00AC1A2A">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w:t>
      </w:r>
      <w:r w:rsidR="00E07CE2" w:rsidRPr="004A5B22">
        <w:rPr>
          <w:rFonts w:asciiTheme="majorHAnsi" w:hAnsiTheme="majorHAnsi" w:cstheme="majorHAnsi"/>
          <w:sz w:val="18"/>
          <w:szCs w:val="18"/>
        </w:rPr>
        <w:t>Productivity Commission, 2010, Gambling: Productivity Commission Inquiry Report - Volume 1</w:t>
      </w:r>
    </w:p>
  </w:footnote>
  <w:footnote w:id="17">
    <w:p w14:paraId="1337F856" w14:textId="76A0E4D2" w:rsidR="00211151" w:rsidRPr="004A5B22" w:rsidRDefault="00211151">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w:t>
      </w:r>
      <w:r w:rsidR="00E07CE2" w:rsidRPr="004A5B22">
        <w:rPr>
          <w:rFonts w:asciiTheme="majorHAnsi" w:hAnsiTheme="majorHAnsi" w:cstheme="majorHAnsi"/>
          <w:sz w:val="18"/>
          <w:szCs w:val="18"/>
        </w:rPr>
        <w:t xml:space="preserve">As calculated from over all losses. </w:t>
      </w:r>
    </w:p>
  </w:footnote>
  <w:footnote w:id="18">
    <w:p w14:paraId="64630319" w14:textId="23C575C4" w:rsidR="007D5E99" w:rsidRPr="004A5B22" w:rsidRDefault="007D5E99" w:rsidP="00394569">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w:t>
      </w:r>
      <w:r w:rsidR="00394569" w:rsidRPr="004A5B22">
        <w:rPr>
          <w:rFonts w:asciiTheme="majorHAnsi" w:hAnsiTheme="majorHAnsi" w:cstheme="majorHAnsi"/>
          <w:sz w:val="18"/>
          <w:szCs w:val="18"/>
        </w:rPr>
        <w:t>Browne, M. et al., 2016, Assessing gambling-related harm in Victoria: a public health perspective, Melbourne: Victorian Responsible Gambling Foundation.</w:t>
      </w:r>
    </w:p>
  </w:footnote>
  <w:footnote w:id="19">
    <w:p w14:paraId="45C161CB" w14:textId="2A0636D4" w:rsidR="007D5E99" w:rsidRPr="004A5B22" w:rsidRDefault="007D5E99">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Derbyshire et al (2001b)</w:t>
      </w:r>
      <w:r w:rsidR="00394569" w:rsidRPr="004A5B22">
        <w:rPr>
          <w:rFonts w:asciiTheme="majorHAnsi" w:hAnsiTheme="majorHAnsi" w:cstheme="majorHAnsi"/>
          <w:sz w:val="18"/>
          <w:szCs w:val="18"/>
        </w:rPr>
        <w:t>, as quoted in Browne, M. et al., 2016, Assessing gambling-related harm in Victoria: a public health perspective, Melbourne: Victorian Responsible Gambling Foundation.</w:t>
      </w:r>
    </w:p>
  </w:footnote>
  <w:footnote w:id="20">
    <w:p w14:paraId="6193378C" w14:textId="79BF14F7" w:rsidR="005F1766" w:rsidRPr="004A5B22" w:rsidRDefault="005F1766" w:rsidP="005F1766">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McCready, J., M</w:t>
      </w:r>
      <w:r w:rsidR="00394569" w:rsidRPr="004A5B22">
        <w:rPr>
          <w:rFonts w:asciiTheme="majorHAnsi" w:hAnsiTheme="majorHAnsi" w:cstheme="majorHAnsi"/>
          <w:sz w:val="18"/>
          <w:szCs w:val="18"/>
        </w:rPr>
        <w:t>ann, R., Zhao, J. and Eves, R., 2008,</w:t>
      </w:r>
      <w:r w:rsidRPr="004A5B22">
        <w:rPr>
          <w:rFonts w:asciiTheme="majorHAnsi" w:hAnsiTheme="majorHAnsi" w:cstheme="majorHAnsi"/>
          <w:sz w:val="18"/>
          <w:szCs w:val="18"/>
        </w:rPr>
        <w:t xml:space="preserve"> Correlates of Gambling-related problems among older</w:t>
      </w:r>
    </w:p>
    <w:p w14:paraId="67C6E593" w14:textId="699715CF" w:rsidR="005F1766" w:rsidRPr="004A5B22" w:rsidRDefault="005F1766" w:rsidP="005F1766">
      <w:pPr>
        <w:pStyle w:val="FootnoteText"/>
        <w:rPr>
          <w:rFonts w:asciiTheme="majorHAnsi" w:hAnsiTheme="majorHAnsi" w:cstheme="majorHAnsi"/>
          <w:sz w:val="18"/>
          <w:szCs w:val="18"/>
        </w:rPr>
      </w:pPr>
      <w:proofErr w:type="gramStart"/>
      <w:r w:rsidRPr="004A5B22">
        <w:rPr>
          <w:rFonts w:asciiTheme="majorHAnsi" w:hAnsiTheme="majorHAnsi" w:cstheme="majorHAnsi"/>
          <w:sz w:val="18"/>
          <w:szCs w:val="18"/>
        </w:rPr>
        <w:t>adults</w:t>
      </w:r>
      <w:proofErr w:type="gramEnd"/>
      <w:r w:rsidRPr="004A5B22">
        <w:rPr>
          <w:rFonts w:asciiTheme="majorHAnsi" w:hAnsiTheme="majorHAnsi" w:cstheme="majorHAnsi"/>
          <w:sz w:val="18"/>
          <w:szCs w:val="18"/>
        </w:rPr>
        <w:t xml:space="preserve"> in Ontario. Journal of Gambling Is</w:t>
      </w:r>
      <w:r w:rsidR="00BB4EE0" w:rsidRPr="004A5B22">
        <w:rPr>
          <w:rFonts w:asciiTheme="majorHAnsi" w:hAnsiTheme="majorHAnsi" w:cstheme="majorHAnsi"/>
          <w:sz w:val="18"/>
          <w:szCs w:val="18"/>
        </w:rPr>
        <w:t xml:space="preserve">sues, Vol. 22, Accessed June 2018: </w:t>
      </w:r>
    </w:p>
    <w:p w14:paraId="5EA6FF7C" w14:textId="546231EF" w:rsidR="005F1766" w:rsidRPr="004A5B22" w:rsidRDefault="005F1766" w:rsidP="005F1766">
      <w:pPr>
        <w:pStyle w:val="FootnoteText"/>
        <w:rPr>
          <w:rFonts w:asciiTheme="majorHAnsi" w:hAnsiTheme="majorHAnsi" w:cstheme="majorHAnsi"/>
          <w:sz w:val="18"/>
          <w:szCs w:val="18"/>
        </w:rPr>
      </w:pPr>
      <w:r w:rsidRPr="004A5B22">
        <w:rPr>
          <w:rFonts w:asciiTheme="majorHAnsi" w:hAnsiTheme="majorHAnsi" w:cstheme="majorHAnsi"/>
          <w:sz w:val="18"/>
          <w:szCs w:val="18"/>
        </w:rPr>
        <w:t>www.camh.net/egambling/issue22/02mccready-mann.htmll</w:t>
      </w:r>
    </w:p>
  </w:footnote>
  <w:footnote w:id="21">
    <w:p w14:paraId="68441F3F" w14:textId="7DBDE66C" w:rsidR="00341383" w:rsidRPr="004A5B22" w:rsidRDefault="00341383" w:rsidP="00341383">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00C1093A" w:rsidRPr="004A5B22">
        <w:rPr>
          <w:rFonts w:asciiTheme="majorHAnsi" w:hAnsiTheme="majorHAnsi" w:cstheme="majorHAnsi"/>
          <w:sz w:val="18"/>
          <w:szCs w:val="18"/>
        </w:rPr>
        <w:t xml:space="preserve"> Science Alert, 2008, </w:t>
      </w:r>
      <w:r w:rsidRPr="004A5B22">
        <w:rPr>
          <w:rFonts w:asciiTheme="majorHAnsi" w:hAnsiTheme="majorHAnsi" w:cstheme="majorHAnsi"/>
          <w:sz w:val="18"/>
          <w:szCs w:val="18"/>
        </w:rPr>
        <w:t xml:space="preserve">Depressed gamblers Risk Addictions. Science Alert. Accessed </w:t>
      </w:r>
      <w:r w:rsidR="00C1093A" w:rsidRPr="004A5B22">
        <w:rPr>
          <w:rFonts w:asciiTheme="majorHAnsi" w:hAnsiTheme="majorHAnsi" w:cstheme="majorHAnsi"/>
          <w:sz w:val="18"/>
          <w:szCs w:val="18"/>
        </w:rPr>
        <w:t xml:space="preserve">June 2018: </w:t>
      </w:r>
      <w:r w:rsidRPr="004A5B22">
        <w:rPr>
          <w:rFonts w:asciiTheme="majorHAnsi" w:hAnsiTheme="majorHAnsi" w:cstheme="majorHAnsi"/>
          <w:sz w:val="18"/>
          <w:szCs w:val="18"/>
        </w:rPr>
        <w:t>www.responsiblegambling.org/staffsearch/library_news_re</w:t>
      </w:r>
      <w:r w:rsidR="007345EC" w:rsidRPr="004A5B22">
        <w:rPr>
          <w:rFonts w:asciiTheme="majorHAnsi" w:hAnsiTheme="majorHAnsi" w:cstheme="majorHAnsi"/>
          <w:sz w:val="18"/>
          <w:szCs w:val="18"/>
        </w:rPr>
        <w:t>sults_details.cfm?inteID=11513.</w:t>
      </w:r>
    </w:p>
  </w:footnote>
  <w:footnote w:id="22">
    <w:p w14:paraId="0E0D9D0B" w14:textId="088E1DA5" w:rsidR="00DB0979" w:rsidRPr="004A5B22" w:rsidRDefault="00DB0979" w:rsidP="00DB0979">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w:t>
      </w:r>
      <w:r w:rsidR="00C1093A" w:rsidRPr="004A5B22">
        <w:rPr>
          <w:rFonts w:asciiTheme="majorHAnsi" w:hAnsiTheme="majorHAnsi" w:cstheme="majorHAnsi"/>
          <w:sz w:val="18"/>
          <w:szCs w:val="18"/>
        </w:rPr>
        <w:t>A</w:t>
      </w:r>
      <w:r w:rsidRPr="004A5B22">
        <w:rPr>
          <w:rFonts w:asciiTheme="majorHAnsi" w:hAnsiTheme="majorHAnsi" w:cstheme="majorHAnsi"/>
          <w:sz w:val="18"/>
          <w:szCs w:val="18"/>
        </w:rPr>
        <w:t>ccording to The Centre for Gambling Research at the Australian National University (cited in Stone,</w:t>
      </w:r>
      <w:r w:rsidR="00C1093A" w:rsidRPr="004A5B22">
        <w:rPr>
          <w:rFonts w:asciiTheme="majorHAnsi" w:hAnsiTheme="majorHAnsi" w:cstheme="majorHAnsi"/>
          <w:sz w:val="18"/>
          <w:szCs w:val="18"/>
        </w:rPr>
        <w:t xml:space="preserve"> C., Yeung, K., and </w:t>
      </w:r>
      <w:proofErr w:type="spellStart"/>
      <w:r w:rsidR="00C1093A" w:rsidRPr="004A5B22">
        <w:rPr>
          <w:rFonts w:asciiTheme="majorHAnsi" w:hAnsiTheme="majorHAnsi" w:cstheme="majorHAnsi"/>
          <w:sz w:val="18"/>
          <w:szCs w:val="18"/>
        </w:rPr>
        <w:t>Billi</w:t>
      </w:r>
      <w:proofErr w:type="spellEnd"/>
      <w:r w:rsidR="00C1093A" w:rsidRPr="004A5B22">
        <w:rPr>
          <w:rFonts w:asciiTheme="majorHAnsi" w:hAnsiTheme="majorHAnsi" w:cstheme="majorHAnsi"/>
          <w:sz w:val="18"/>
          <w:szCs w:val="18"/>
        </w:rPr>
        <w:t xml:space="preserve">, R., </w:t>
      </w:r>
      <w:r w:rsidRPr="004A5B22">
        <w:rPr>
          <w:rFonts w:asciiTheme="majorHAnsi" w:hAnsiTheme="majorHAnsi" w:cstheme="majorHAnsi"/>
          <w:sz w:val="18"/>
          <w:szCs w:val="18"/>
        </w:rPr>
        <w:t>Technical Report Four: Social Determinants and Co-Morbidities: Multivariate Models of Co-Morbidities, The Victorian Gambling Study: A Longitudinal Study of Gambling and Health in Victoria 2008–2012 (2016). Melbourne</w:t>
      </w:r>
    </w:p>
  </w:footnote>
  <w:footnote w:id="23">
    <w:p w14:paraId="62A9544D" w14:textId="1C3054A5" w:rsidR="00D41B6A" w:rsidRPr="004A5B22" w:rsidRDefault="00D41B6A">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Beyond blue</w:t>
      </w:r>
      <w:r w:rsidR="00C1093A" w:rsidRPr="004A5B22">
        <w:rPr>
          <w:rFonts w:asciiTheme="majorHAnsi" w:hAnsiTheme="majorHAnsi" w:cstheme="majorHAnsi"/>
          <w:sz w:val="18"/>
          <w:szCs w:val="18"/>
        </w:rPr>
        <w:t xml:space="preserve">, 2017, Media Release, Accessed August 2018: </w:t>
      </w:r>
      <w:r w:rsidRPr="004A5B22">
        <w:rPr>
          <w:rFonts w:asciiTheme="majorHAnsi" w:hAnsiTheme="majorHAnsi" w:cstheme="majorHAnsi"/>
          <w:sz w:val="18"/>
          <w:szCs w:val="18"/>
        </w:rPr>
        <w:t xml:space="preserve"> https://www.beyondblue.org.au/media/news/news/2017/06/02/beyondblue-targets-mental-health-in-greater-dandenong</w:t>
      </w:r>
    </w:p>
  </w:footnote>
  <w:footnote w:id="24">
    <w:p w14:paraId="27A75821" w14:textId="716A8B9B" w:rsidR="00D41B6A" w:rsidRPr="004A5B22" w:rsidRDefault="00D41B6A">
      <w:pPr>
        <w:pStyle w:val="FootnoteText"/>
        <w:rPr>
          <w:rFonts w:asciiTheme="majorHAnsi" w:hAnsiTheme="majorHAnsi" w:cstheme="majorHAnsi"/>
          <w:b/>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w:t>
      </w:r>
      <w:r w:rsidR="00C1093A" w:rsidRPr="004A5B22">
        <w:rPr>
          <w:rFonts w:asciiTheme="majorHAnsi" w:hAnsiTheme="majorHAnsi" w:cstheme="majorHAnsi"/>
          <w:sz w:val="18"/>
          <w:szCs w:val="18"/>
        </w:rPr>
        <w:t>Brown, 2018, Gambling Related Issues for Local Government, City of Greater Dandenong, accessed August 2018: http://www.greaterdandenong.com/document/18464/statistical-data-for-victorian-communities</w:t>
      </w:r>
    </w:p>
  </w:footnote>
  <w:footnote w:id="25">
    <w:p w14:paraId="30768DC0" w14:textId="5C5D8657" w:rsidR="007345EC" w:rsidRPr="004A5B22" w:rsidRDefault="007345EC">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00C1093A" w:rsidRPr="004A5B22">
        <w:rPr>
          <w:rFonts w:asciiTheme="majorHAnsi" w:hAnsiTheme="majorHAnsi" w:cstheme="majorHAnsi"/>
          <w:sz w:val="18"/>
          <w:szCs w:val="18"/>
        </w:rPr>
        <w:t xml:space="preserve"> ibid</w:t>
      </w:r>
    </w:p>
  </w:footnote>
  <w:footnote w:id="26">
    <w:p w14:paraId="60AAE375" w14:textId="77777777" w:rsidR="00C1093A" w:rsidRPr="004A5B22" w:rsidRDefault="00CD79FD" w:rsidP="00C1093A">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w:t>
      </w:r>
      <w:r w:rsidR="00C1093A" w:rsidRPr="004A5B22">
        <w:rPr>
          <w:rFonts w:asciiTheme="majorHAnsi" w:hAnsiTheme="majorHAnsi" w:cstheme="majorHAnsi"/>
          <w:sz w:val="18"/>
          <w:szCs w:val="18"/>
        </w:rPr>
        <w:t xml:space="preserve">Australian Institute of Family Studies, 2016, Tale of two suburbs: Gambling in suburban Australia, Media Release, accessed August 2018: </w:t>
      </w:r>
    </w:p>
    <w:p w14:paraId="260FAFCB" w14:textId="76581E3E" w:rsidR="00CD79FD" w:rsidRPr="004A5B22" w:rsidRDefault="00442D33" w:rsidP="00C1093A">
      <w:pPr>
        <w:pStyle w:val="FootnoteText"/>
        <w:rPr>
          <w:rFonts w:asciiTheme="majorHAnsi" w:hAnsiTheme="majorHAnsi" w:cstheme="majorHAnsi"/>
          <w:sz w:val="18"/>
          <w:szCs w:val="18"/>
        </w:rPr>
      </w:pPr>
      <w:hyperlink r:id="rId1" w:history="1">
        <w:r w:rsidR="00C1093A" w:rsidRPr="004A5B22">
          <w:rPr>
            <w:rStyle w:val="Hyperlink"/>
            <w:rFonts w:asciiTheme="majorHAnsi" w:hAnsiTheme="majorHAnsi" w:cstheme="majorHAnsi"/>
            <w:sz w:val="18"/>
            <w:szCs w:val="18"/>
          </w:rPr>
          <w:t>https://aifs.gov.au/media-releases/tale-two-suburbs-gambling-suburban-australia</w:t>
        </w:r>
      </w:hyperlink>
      <w:r w:rsidR="00C1093A" w:rsidRPr="004A5B22">
        <w:rPr>
          <w:rFonts w:asciiTheme="majorHAnsi" w:hAnsiTheme="majorHAnsi" w:cstheme="majorHAnsi"/>
          <w:sz w:val="18"/>
          <w:szCs w:val="18"/>
        </w:rPr>
        <w:t xml:space="preserve">, </w:t>
      </w:r>
      <w:r w:rsidR="00CD79FD" w:rsidRPr="004A5B22">
        <w:rPr>
          <w:rFonts w:asciiTheme="majorHAnsi" w:hAnsiTheme="majorHAnsi" w:cstheme="majorHAnsi"/>
          <w:sz w:val="18"/>
          <w:szCs w:val="18"/>
        </w:rPr>
        <w:t xml:space="preserve">as quoted in </w:t>
      </w:r>
      <w:r w:rsidR="00C1093A" w:rsidRPr="004A5B22">
        <w:rPr>
          <w:rFonts w:asciiTheme="majorHAnsi" w:hAnsiTheme="majorHAnsi" w:cstheme="majorHAnsi"/>
          <w:sz w:val="18"/>
          <w:szCs w:val="18"/>
        </w:rPr>
        <w:t xml:space="preserve">Centre for Innovative Justice, 2017, Compulsion, convergence or crime? </w:t>
      </w:r>
      <w:proofErr w:type="spellStart"/>
      <w:r w:rsidR="00C1093A" w:rsidRPr="004A5B22">
        <w:rPr>
          <w:rFonts w:asciiTheme="majorHAnsi" w:hAnsiTheme="majorHAnsi" w:cstheme="majorHAnsi"/>
          <w:sz w:val="18"/>
          <w:szCs w:val="18"/>
        </w:rPr>
        <w:t>RMIT</w:t>
      </w:r>
      <w:proofErr w:type="spellEnd"/>
      <w:r w:rsidR="00C1093A" w:rsidRPr="004A5B22">
        <w:rPr>
          <w:rFonts w:asciiTheme="majorHAnsi" w:hAnsiTheme="majorHAnsi" w:cstheme="majorHAnsi"/>
          <w:sz w:val="18"/>
          <w:szCs w:val="18"/>
        </w:rPr>
        <w:t xml:space="preserve"> University, accessed August 2018:  https://www.rmit.edu.au/content/dam/rmit/documents/college-of-business/graduate-school-of-business-and-law/Gambling-Harm-Report.pdf</w:t>
      </w:r>
    </w:p>
  </w:footnote>
  <w:footnote w:id="27">
    <w:p w14:paraId="1DF1607B" w14:textId="09F77DEA" w:rsidR="00071B09" w:rsidRPr="004A5B22" w:rsidRDefault="00071B09">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w:t>
      </w:r>
      <w:r w:rsidR="00C1093A" w:rsidRPr="004A5B22">
        <w:rPr>
          <w:rFonts w:asciiTheme="majorHAnsi" w:hAnsiTheme="majorHAnsi" w:cstheme="majorHAnsi"/>
          <w:sz w:val="18"/>
          <w:szCs w:val="18"/>
        </w:rPr>
        <w:t xml:space="preserve">Brown, 2018, Gambling Related Issues for Local Government, City of Greater Dandenong, accessed August 2018: </w:t>
      </w:r>
      <w:hyperlink r:id="rId2" w:history="1">
        <w:r w:rsidR="00C1093A" w:rsidRPr="004A5B22">
          <w:rPr>
            <w:rStyle w:val="Hyperlink"/>
            <w:rFonts w:asciiTheme="majorHAnsi" w:hAnsiTheme="majorHAnsi" w:cstheme="majorHAnsi"/>
            <w:sz w:val="18"/>
            <w:szCs w:val="18"/>
          </w:rPr>
          <w:t>http://www.greaterdandenong.com/document/18464/statistical-data-for-victorian-communities</w:t>
        </w:r>
      </w:hyperlink>
      <w:r w:rsidR="00C1093A" w:rsidRPr="004A5B22">
        <w:rPr>
          <w:rFonts w:asciiTheme="majorHAnsi" w:hAnsiTheme="majorHAnsi" w:cstheme="majorHAnsi"/>
          <w:sz w:val="18"/>
          <w:szCs w:val="18"/>
        </w:rPr>
        <w:t xml:space="preserve"> </w:t>
      </w:r>
    </w:p>
  </w:footnote>
  <w:footnote w:id="28">
    <w:p w14:paraId="4785959F" w14:textId="46D1B6A1" w:rsidR="00F94D50" w:rsidRPr="004A5B22" w:rsidRDefault="00F94D50" w:rsidP="00F94D50">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Markham, F., Doran, B., and Young, M.,</w:t>
      </w:r>
      <w:r w:rsidR="00C1093A" w:rsidRPr="004A5B22">
        <w:rPr>
          <w:rFonts w:asciiTheme="majorHAnsi" w:hAnsiTheme="majorHAnsi" w:cstheme="majorHAnsi"/>
          <w:sz w:val="18"/>
          <w:szCs w:val="18"/>
        </w:rPr>
        <w:t xml:space="preserve"> 2016, </w:t>
      </w:r>
      <w:r w:rsidRPr="004A5B22">
        <w:rPr>
          <w:rFonts w:asciiTheme="majorHAnsi" w:hAnsiTheme="majorHAnsi" w:cstheme="majorHAnsi"/>
          <w:sz w:val="18"/>
          <w:szCs w:val="18"/>
        </w:rPr>
        <w:t>The relationship between electronic gaming machine accessibility and police-recorded domestic violence:</w:t>
      </w:r>
      <w:r w:rsidR="00C1093A" w:rsidRPr="004A5B22">
        <w:rPr>
          <w:rFonts w:asciiTheme="majorHAnsi" w:hAnsiTheme="majorHAnsi" w:cstheme="majorHAnsi"/>
          <w:sz w:val="18"/>
          <w:szCs w:val="18"/>
        </w:rPr>
        <w:t xml:space="preserve"> </w:t>
      </w:r>
      <w:r w:rsidRPr="004A5B22">
        <w:rPr>
          <w:rFonts w:asciiTheme="majorHAnsi" w:hAnsiTheme="majorHAnsi" w:cstheme="majorHAnsi"/>
          <w:sz w:val="18"/>
          <w:szCs w:val="18"/>
        </w:rPr>
        <w:t xml:space="preserve">A </w:t>
      </w:r>
      <w:proofErr w:type="spellStart"/>
      <w:r w:rsidRPr="004A5B22">
        <w:rPr>
          <w:rFonts w:asciiTheme="majorHAnsi" w:hAnsiTheme="majorHAnsi" w:cstheme="majorHAnsi"/>
          <w:sz w:val="18"/>
          <w:szCs w:val="18"/>
        </w:rPr>
        <w:t>spatio</w:t>
      </w:r>
      <w:proofErr w:type="spellEnd"/>
      <w:r w:rsidRPr="004A5B22">
        <w:rPr>
          <w:rFonts w:asciiTheme="majorHAnsi" w:hAnsiTheme="majorHAnsi" w:cstheme="majorHAnsi"/>
          <w:sz w:val="18"/>
          <w:szCs w:val="18"/>
        </w:rPr>
        <w:t>-temporal analysis of 654 postcodes in V</w:t>
      </w:r>
      <w:r w:rsidR="00C1093A" w:rsidRPr="004A5B22">
        <w:rPr>
          <w:rFonts w:asciiTheme="majorHAnsi" w:hAnsiTheme="majorHAnsi" w:cstheme="majorHAnsi"/>
          <w:sz w:val="18"/>
          <w:szCs w:val="18"/>
        </w:rPr>
        <w:t>ictoria, Australia, 2005–2014,</w:t>
      </w:r>
      <w:r w:rsidRPr="004A5B22">
        <w:rPr>
          <w:rFonts w:asciiTheme="majorHAnsi" w:hAnsiTheme="majorHAnsi" w:cstheme="majorHAnsi"/>
          <w:sz w:val="18"/>
          <w:szCs w:val="18"/>
        </w:rPr>
        <w:t>Social Science &amp; Medicine 162</w:t>
      </w:r>
    </w:p>
  </w:footnote>
  <w:footnote w:id="29">
    <w:p w14:paraId="04C9427F" w14:textId="53A63F3D" w:rsidR="00F94D50" w:rsidRPr="004A5B22" w:rsidRDefault="00F94D50">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w:t>
      </w:r>
      <w:r w:rsidR="00C1093A" w:rsidRPr="004A5B22">
        <w:rPr>
          <w:rFonts w:asciiTheme="majorHAnsi" w:hAnsiTheme="majorHAnsi" w:cstheme="majorHAnsi"/>
          <w:sz w:val="18"/>
          <w:szCs w:val="18"/>
        </w:rPr>
        <w:t xml:space="preserve">Centre for Innovative Justice, 2017, Compulsion, convergence or crime? </w:t>
      </w:r>
      <w:proofErr w:type="spellStart"/>
      <w:r w:rsidR="00C1093A" w:rsidRPr="004A5B22">
        <w:rPr>
          <w:rFonts w:asciiTheme="majorHAnsi" w:hAnsiTheme="majorHAnsi" w:cstheme="majorHAnsi"/>
          <w:sz w:val="18"/>
          <w:szCs w:val="18"/>
        </w:rPr>
        <w:t>RMIT</w:t>
      </w:r>
      <w:proofErr w:type="spellEnd"/>
      <w:r w:rsidR="00C1093A" w:rsidRPr="004A5B22">
        <w:rPr>
          <w:rFonts w:asciiTheme="majorHAnsi" w:hAnsiTheme="majorHAnsi" w:cstheme="majorHAnsi"/>
          <w:sz w:val="18"/>
          <w:szCs w:val="18"/>
        </w:rPr>
        <w:t xml:space="preserve"> University, accessed August 2018:  https://www.rmit.edu.au/content/dam/rmit/documents/college-of-business/graduate-school-of-business-and-law/Gambling-Harm-Report.pdf</w:t>
      </w:r>
    </w:p>
  </w:footnote>
  <w:footnote w:id="30">
    <w:p w14:paraId="17EF19E2" w14:textId="0E67E05E" w:rsidR="001119A1" w:rsidRPr="004A5B22" w:rsidRDefault="00025329" w:rsidP="00025329">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Citing Rodney </w:t>
      </w:r>
      <w:proofErr w:type="spellStart"/>
      <w:r w:rsidRPr="004A5B22">
        <w:rPr>
          <w:rFonts w:asciiTheme="majorHAnsi" w:hAnsiTheme="majorHAnsi" w:cstheme="majorHAnsi"/>
          <w:sz w:val="18"/>
          <w:szCs w:val="18"/>
        </w:rPr>
        <w:t>Vlais</w:t>
      </w:r>
      <w:proofErr w:type="spellEnd"/>
      <w:r w:rsidRPr="004A5B22">
        <w:rPr>
          <w:rFonts w:asciiTheme="majorHAnsi" w:hAnsiTheme="majorHAnsi" w:cstheme="majorHAnsi"/>
          <w:sz w:val="18"/>
          <w:szCs w:val="18"/>
        </w:rPr>
        <w:t xml:space="preserve">, submission from Centre for Forensic Behavioural Science and </w:t>
      </w:r>
      <w:proofErr w:type="spellStart"/>
      <w:r w:rsidRPr="004A5B22">
        <w:rPr>
          <w:rFonts w:asciiTheme="majorHAnsi" w:hAnsiTheme="majorHAnsi" w:cstheme="majorHAnsi"/>
          <w:sz w:val="18"/>
          <w:szCs w:val="18"/>
        </w:rPr>
        <w:t>Forensicare</w:t>
      </w:r>
      <w:proofErr w:type="spellEnd"/>
      <w:r w:rsidRPr="004A5B22">
        <w:rPr>
          <w:rFonts w:asciiTheme="majorHAnsi" w:hAnsiTheme="majorHAnsi" w:cstheme="majorHAnsi"/>
          <w:sz w:val="18"/>
          <w:szCs w:val="18"/>
        </w:rPr>
        <w:t>, "Understanding and responding to complex criminal behaviour resulting in family violence: submission to the Royal Commiss</w:t>
      </w:r>
      <w:r w:rsidR="00A941D9" w:rsidRPr="004A5B22">
        <w:rPr>
          <w:rFonts w:asciiTheme="majorHAnsi" w:hAnsiTheme="majorHAnsi" w:cstheme="majorHAnsi"/>
          <w:sz w:val="18"/>
          <w:szCs w:val="18"/>
        </w:rPr>
        <w:t xml:space="preserve">ion on Family Violence," (2015), as quoted in Centre for Innovative Justice, 2017, Compulsion, convergence or crime? </w:t>
      </w:r>
      <w:proofErr w:type="spellStart"/>
      <w:r w:rsidR="00A941D9" w:rsidRPr="004A5B22">
        <w:rPr>
          <w:rFonts w:asciiTheme="majorHAnsi" w:hAnsiTheme="majorHAnsi" w:cstheme="majorHAnsi"/>
          <w:sz w:val="18"/>
          <w:szCs w:val="18"/>
        </w:rPr>
        <w:t>RMIT</w:t>
      </w:r>
      <w:proofErr w:type="spellEnd"/>
      <w:r w:rsidR="00A941D9" w:rsidRPr="004A5B22">
        <w:rPr>
          <w:rFonts w:asciiTheme="majorHAnsi" w:hAnsiTheme="majorHAnsi" w:cstheme="majorHAnsi"/>
          <w:sz w:val="18"/>
          <w:szCs w:val="18"/>
        </w:rPr>
        <w:t xml:space="preserve"> University, accessed August 2018:  </w:t>
      </w:r>
      <w:hyperlink r:id="rId3" w:history="1">
        <w:r w:rsidR="001119A1" w:rsidRPr="004A5B22">
          <w:rPr>
            <w:rStyle w:val="Hyperlink"/>
            <w:rFonts w:asciiTheme="majorHAnsi" w:hAnsiTheme="majorHAnsi" w:cstheme="majorHAnsi"/>
            <w:sz w:val="18"/>
            <w:szCs w:val="18"/>
          </w:rPr>
          <w:t>https://www.rmit.edu.au/content/dam/rmit/documents/college-of-business/graduate-school-of-business-and-law/Gambling-Harm-Report.pdf</w:t>
        </w:r>
      </w:hyperlink>
    </w:p>
  </w:footnote>
  <w:footnote w:id="31">
    <w:p w14:paraId="1DB69E34" w14:textId="169F066A" w:rsidR="004A5B22" w:rsidRPr="004A5B22" w:rsidRDefault="004A5B22">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ibid</w:t>
      </w:r>
    </w:p>
  </w:footnote>
  <w:footnote w:id="32">
    <w:p w14:paraId="0BC54C69" w14:textId="092F837F" w:rsidR="000260BA" w:rsidRPr="004A5B22" w:rsidRDefault="000260BA">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w:t>
      </w:r>
      <w:r w:rsidR="004A5B22" w:rsidRPr="004A5B22">
        <w:rPr>
          <w:rFonts w:asciiTheme="majorHAnsi" w:hAnsiTheme="majorHAnsi" w:cstheme="majorHAnsi"/>
          <w:sz w:val="18"/>
          <w:szCs w:val="18"/>
        </w:rPr>
        <w:t xml:space="preserve">Citing Rodney </w:t>
      </w:r>
      <w:proofErr w:type="spellStart"/>
      <w:r w:rsidR="004A5B22" w:rsidRPr="004A5B22">
        <w:rPr>
          <w:rFonts w:asciiTheme="majorHAnsi" w:hAnsiTheme="majorHAnsi" w:cstheme="majorHAnsi"/>
          <w:sz w:val="18"/>
          <w:szCs w:val="18"/>
        </w:rPr>
        <w:t>Vlais</w:t>
      </w:r>
      <w:proofErr w:type="spellEnd"/>
      <w:r w:rsidR="004A5B22" w:rsidRPr="004A5B22">
        <w:rPr>
          <w:rFonts w:asciiTheme="majorHAnsi" w:hAnsiTheme="majorHAnsi" w:cstheme="majorHAnsi"/>
          <w:sz w:val="18"/>
          <w:szCs w:val="18"/>
        </w:rPr>
        <w:t xml:space="preserve">, submission from Centre for Forensic Behavioural Science and </w:t>
      </w:r>
      <w:proofErr w:type="spellStart"/>
      <w:r w:rsidR="004A5B22" w:rsidRPr="004A5B22">
        <w:rPr>
          <w:rFonts w:asciiTheme="majorHAnsi" w:hAnsiTheme="majorHAnsi" w:cstheme="majorHAnsi"/>
          <w:sz w:val="18"/>
          <w:szCs w:val="18"/>
        </w:rPr>
        <w:t>Forensicare</w:t>
      </w:r>
      <w:proofErr w:type="spellEnd"/>
      <w:r w:rsidR="004A5B22" w:rsidRPr="004A5B22">
        <w:rPr>
          <w:rFonts w:asciiTheme="majorHAnsi" w:hAnsiTheme="majorHAnsi" w:cstheme="majorHAnsi"/>
          <w:sz w:val="18"/>
          <w:szCs w:val="18"/>
        </w:rPr>
        <w:t xml:space="preserve">, "Understanding and responding to complex criminal behaviour resulting in family violence: submission to the Royal Commission on Family Violence," (2015), as quoted in Centre for Innovative Justice, 2017, Compulsion, convergence or crime? </w:t>
      </w:r>
      <w:proofErr w:type="spellStart"/>
      <w:r w:rsidR="004A5B22" w:rsidRPr="004A5B22">
        <w:rPr>
          <w:rFonts w:asciiTheme="majorHAnsi" w:hAnsiTheme="majorHAnsi" w:cstheme="majorHAnsi"/>
          <w:sz w:val="18"/>
          <w:szCs w:val="18"/>
        </w:rPr>
        <w:t>RMIT</w:t>
      </w:r>
      <w:proofErr w:type="spellEnd"/>
      <w:r w:rsidR="004A5B22" w:rsidRPr="004A5B22">
        <w:rPr>
          <w:rFonts w:asciiTheme="majorHAnsi" w:hAnsiTheme="majorHAnsi" w:cstheme="majorHAnsi"/>
          <w:sz w:val="18"/>
          <w:szCs w:val="18"/>
        </w:rPr>
        <w:t xml:space="preserve"> University, accessed August 2018:  https://www.rmit.edu.au/content/dam/rmit/documents/college-of-business/graduate-school-of-business-and-law/Gambling-Harm-Report.pdf</w:t>
      </w:r>
    </w:p>
  </w:footnote>
  <w:footnote w:id="33">
    <w:p w14:paraId="44E49BFF" w14:textId="34F5F19B" w:rsidR="006E0C9F" w:rsidRPr="004A5B22" w:rsidRDefault="006E0C9F">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w:t>
      </w:r>
      <w:r w:rsidR="00A941D9" w:rsidRPr="004A5B22">
        <w:rPr>
          <w:rFonts w:asciiTheme="majorHAnsi" w:hAnsiTheme="majorHAnsi" w:cstheme="majorHAnsi"/>
          <w:sz w:val="18"/>
          <w:szCs w:val="18"/>
        </w:rPr>
        <w:t xml:space="preserve">Crime Statistics Agency, 2016, </w:t>
      </w:r>
      <w:r w:rsidRPr="004A5B22">
        <w:rPr>
          <w:rFonts w:asciiTheme="majorHAnsi" w:hAnsiTheme="majorHAnsi" w:cstheme="majorHAnsi"/>
          <w:sz w:val="18"/>
          <w:szCs w:val="18"/>
        </w:rPr>
        <w:t>Family incidents, year ending 31 March 2016. State Government of Victoria. Accessed on 6 September 2016 from: https://www.crimestatistics.vic.gov.au/crime-statistics/latest-crime-data/family-incidents</w:t>
      </w:r>
    </w:p>
  </w:footnote>
  <w:footnote w:id="34">
    <w:p w14:paraId="069AD2FE" w14:textId="64F54EC1" w:rsidR="001F6B9B" w:rsidRPr="004A5B22" w:rsidRDefault="001F6B9B">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https://www.heraldsun.com.au/leader/south-east/city-of-greater-dandenong-casey-and-cardinia-have-almost-10-per-cent-of-states-total-family-violence-cases/news-story/0c9ee3a3a80e1c9b258e1c421f716e41</w:t>
      </w:r>
    </w:p>
  </w:footnote>
  <w:footnote w:id="35">
    <w:p w14:paraId="48F11647" w14:textId="63B886A6" w:rsidR="00695081" w:rsidRPr="004A5B22" w:rsidRDefault="00695081">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w:t>
      </w:r>
      <w:r w:rsidR="00A941D9" w:rsidRPr="004A5B22">
        <w:rPr>
          <w:rFonts w:asciiTheme="majorHAnsi" w:hAnsiTheme="majorHAnsi" w:cstheme="majorHAnsi"/>
          <w:sz w:val="18"/>
          <w:szCs w:val="18"/>
        </w:rPr>
        <w:t xml:space="preserve">Centre for Innovative Justice, 2017, Compulsion, convergence or crime? </w:t>
      </w:r>
      <w:proofErr w:type="spellStart"/>
      <w:r w:rsidR="00A941D9" w:rsidRPr="004A5B22">
        <w:rPr>
          <w:rFonts w:asciiTheme="majorHAnsi" w:hAnsiTheme="majorHAnsi" w:cstheme="majorHAnsi"/>
          <w:sz w:val="18"/>
          <w:szCs w:val="18"/>
        </w:rPr>
        <w:t>RMIT</w:t>
      </w:r>
      <w:proofErr w:type="spellEnd"/>
      <w:r w:rsidR="00A941D9" w:rsidRPr="004A5B22">
        <w:rPr>
          <w:rFonts w:asciiTheme="majorHAnsi" w:hAnsiTheme="majorHAnsi" w:cstheme="majorHAnsi"/>
          <w:sz w:val="18"/>
          <w:szCs w:val="18"/>
        </w:rPr>
        <w:t xml:space="preserve"> University, accessed August 2018:  https://www.rmit.edu.au/content/dam/rmit/documents/college-of-business/graduate-school-of-business-and-law/Gambling-Harm-Report.pdf</w:t>
      </w:r>
    </w:p>
  </w:footnote>
  <w:footnote w:id="36">
    <w:p w14:paraId="177088B9" w14:textId="1F3C9C1F" w:rsidR="00A941D9" w:rsidRPr="004A5B22" w:rsidRDefault="00A941D9">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Centre for Innovative Justice, 2017, Compulsion, convergence or crime? </w:t>
      </w:r>
      <w:proofErr w:type="spellStart"/>
      <w:r w:rsidRPr="004A5B22">
        <w:rPr>
          <w:rFonts w:asciiTheme="majorHAnsi" w:hAnsiTheme="majorHAnsi" w:cstheme="majorHAnsi"/>
          <w:sz w:val="18"/>
          <w:szCs w:val="18"/>
        </w:rPr>
        <w:t>RMIT</w:t>
      </w:r>
      <w:proofErr w:type="spellEnd"/>
      <w:r w:rsidRPr="004A5B22">
        <w:rPr>
          <w:rFonts w:asciiTheme="majorHAnsi" w:hAnsiTheme="majorHAnsi" w:cstheme="majorHAnsi"/>
          <w:sz w:val="18"/>
          <w:szCs w:val="18"/>
        </w:rPr>
        <w:t xml:space="preserve"> University, accessed August 2018:  https://www.rmit.edu.au/content/dam/rmit/documents/college-of-business/graduate-school-of-business-and-law/Gambling-Harm-Report.pdf</w:t>
      </w:r>
    </w:p>
  </w:footnote>
  <w:footnote w:id="37">
    <w:p w14:paraId="2730C82C" w14:textId="6C67BD9B" w:rsidR="004C157F" w:rsidRPr="004A5B22" w:rsidRDefault="004C157F" w:rsidP="004C157F">
      <w:pPr>
        <w:pStyle w:val="FootnoteText"/>
        <w:rPr>
          <w:rFonts w:asciiTheme="majorHAnsi" w:hAnsiTheme="majorHAnsi" w:cstheme="majorHAnsi"/>
          <w:sz w:val="18"/>
          <w:szCs w:val="18"/>
        </w:rPr>
      </w:pPr>
      <w:r w:rsidRPr="004A5B22">
        <w:rPr>
          <w:rStyle w:val="FootnoteReference"/>
          <w:rFonts w:asciiTheme="majorHAnsi" w:hAnsiTheme="majorHAnsi" w:cstheme="majorHAnsi"/>
          <w:sz w:val="18"/>
          <w:szCs w:val="18"/>
        </w:rPr>
        <w:footnoteRef/>
      </w:r>
      <w:r w:rsidRPr="004A5B22">
        <w:rPr>
          <w:rFonts w:asciiTheme="majorHAnsi" w:hAnsiTheme="majorHAnsi" w:cstheme="majorHAnsi"/>
          <w:sz w:val="18"/>
          <w:szCs w:val="18"/>
        </w:rPr>
        <w:t xml:space="preserve"> Rate of Recorded Offences by Category: 2010/11 to 2016/17 - and 2004/5 to 2016/17 for time trends</w:t>
      </w:r>
    </w:p>
    <w:p w14:paraId="0272C77A" w14:textId="66307790" w:rsidR="004C157F" w:rsidRPr="004A5B22" w:rsidRDefault="004C157F" w:rsidP="004C157F">
      <w:pPr>
        <w:pStyle w:val="FootnoteText"/>
        <w:rPr>
          <w:rFonts w:asciiTheme="majorHAnsi" w:hAnsiTheme="majorHAnsi" w:cstheme="majorHAnsi"/>
          <w:sz w:val="18"/>
          <w:szCs w:val="18"/>
        </w:rPr>
      </w:pPr>
      <w:r w:rsidRPr="004A5B22">
        <w:rPr>
          <w:rFonts w:asciiTheme="majorHAnsi" w:hAnsiTheme="majorHAnsi" w:cstheme="majorHAnsi"/>
          <w:sz w:val="18"/>
          <w:szCs w:val="18"/>
        </w:rPr>
        <w:t>From current and previous records of offences by category from Victoria Police; and from Australian Bureau of Statistics: 3218.0 - Regional Population Growth,</w:t>
      </w:r>
      <w:r w:rsidR="00A941D9" w:rsidRPr="004A5B22">
        <w:rPr>
          <w:rFonts w:asciiTheme="majorHAnsi" w:hAnsiTheme="majorHAnsi" w:cstheme="majorHAnsi"/>
          <w:sz w:val="18"/>
          <w:szCs w:val="18"/>
        </w:rPr>
        <w:t xml:space="preserve"> Australia 2015-16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A0F4B"/>
    <w:multiLevelType w:val="hybridMultilevel"/>
    <w:tmpl w:val="D3B425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19F223A"/>
    <w:multiLevelType w:val="hybridMultilevel"/>
    <w:tmpl w:val="9FE22B38"/>
    <w:lvl w:ilvl="0" w:tplc="2A66E7BE">
      <w:start w:val="1"/>
      <w:numFmt w:val="lowerLetter"/>
      <w:lvlText w:val="(%1)"/>
      <w:lvlJc w:val="left"/>
      <w:pPr>
        <w:ind w:left="1146" w:hanging="360"/>
      </w:pPr>
      <w:rPr>
        <w:rFont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47A964E3"/>
    <w:multiLevelType w:val="hybridMultilevel"/>
    <w:tmpl w:val="8FC4E1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C546E6C"/>
    <w:multiLevelType w:val="hybridMultilevel"/>
    <w:tmpl w:val="F81A9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3B84FF0"/>
    <w:multiLevelType w:val="hybridMultilevel"/>
    <w:tmpl w:val="EDB6EC9E"/>
    <w:lvl w:ilvl="0" w:tplc="F9F6DE46">
      <w:start w:val="1"/>
      <w:numFmt w:val="lowerRoman"/>
      <w:lvlText w:val="(%1)"/>
      <w:lvlJc w:val="left"/>
      <w:pPr>
        <w:ind w:left="1146" w:hanging="360"/>
      </w:pPr>
      <w:rPr>
        <w:rFonts w:ascii="Times New Roman" w:eastAsiaTheme="minorHAnsi" w:hAnsi="Times New Roman" w:cs="Times New Roman"/>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 w15:restartNumberingAfterBreak="0">
    <w:nsid w:val="65390FAB"/>
    <w:multiLevelType w:val="hybridMultilevel"/>
    <w:tmpl w:val="070EFE38"/>
    <w:lvl w:ilvl="0" w:tplc="0C090001">
      <w:start w:val="1"/>
      <w:numFmt w:val="bullet"/>
      <w:lvlText w:val=""/>
      <w:lvlJc w:val="left"/>
      <w:pPr>
        <w:ind w:left="2700" w:hanging="360"/>
      </w:pPr>
      <w:rPr>
        <w:rFonts w:ascii="Symbol" w:hAnsi="Symbol" w:hint="default"/>
      </w:rPr>
    </w:lvl>
    <w:lvl w:ilvl="1" w:tplc="0C090003" w:tentative="1">
      <w:start w:val="1"/>
      <w:numFmt w:val="bullet"/>
      <w:lvlText w:val="o"/>
      <w:lvlJc w:val="left"/>
      <w:pPr>
        <w:ind w:left="3420" w:hanging="360"/>
      </w:pPr>
      <w:rPr>
        <w:rFonts w:ascii="Courier New" w:hAnsi="Courier New" w:cs="Courier New" w:hint="default"/>
      </w:rPr>
    </w:lvl>
    <w:lvl w:ilvl="2" w:tplc="0C090005" w:tentative="1">
      <w:start w:val="1"/>
      <w:numFmt w:val="bullet"/>
      <w:lvlText w:val=""/>
      <w:lvlJc w:val="left"/>
      <w:pPr>
        <w:ind w:left="4140" w:hanging="360"/>
      </w:pPr>
      <w:rPr>
        <w:rFonts w:ascii="Wingdings" w:hAnsi="Wingdings" w:hint="default"/>
      </w:rPr>
    </w:lvl>
    <w:lvl w:ilvl="3" w:tplc="0C090001">
      <w:start w:val="1"/>
      <w:numFmt w:val="bullet"/>
      <w:lvlText w:val=""/>
      <w:lvlJc w:val="left"/>
      <w:pPr>
        <w:ind w:left="4860" w:hanging="360"/>
      </w:pPr>
      <w:rPr>
        <w:rFonts w:ascii="Symbol" w:hAnsi="Symbol" w:hint="default"/>
      </w:rPr>
    </w:lvl>
    <w:lvl w:ilvl="4" w:tplc="0C090003" w:tentative="1">
      <w:start w:val="1"/>
      <w:numFmt w:val="bullet"/>
      <w:lvlText w:val="o"/>
      <w:lvlJc w:val="left"/>
      <w:pPr>
        <w:ind w:left="5580" w:hanging="360"/>
      </w:pPr>
      <w:rPr>
        <w:rFonts w:ascii="Courier New" w:hAnsi="Courier New" w:cs="Courier New" w:hint="default"/>
      </w:rPr>
    </w:lvl>
    <w:lvl w:ilvl="5" w:tplc="0C090005" w:tentative="1">
      <w:start w:val="1"/>
      <w:numFmt w:val="bullet"/>
      <w:lvlText w:val=""/>
      <w:lvlJc w:val="left"/>
      <w:pPr>
        <w:ind w:left="6300" w:hanging="360"/>
      </w:pPr>
      <w:rPr>
        <w:rFonts w:ascii="Wingdings" w:hAnsi="Wingdings" w:hint="default"/>
      </w:rPr>
    </w:lvl>
    <w:lvl w:ilvl="6" w:tplc="0C090001" w:tentative="1">
      <w:start w:val="1"/>
      <w:numFmt w:val="bullet"/>
      <w:lvlText w:val=""/>
      <w:lvlJc w:val="left"/>
      <w:pPr>
        <w:ind w:left="7020" w:hanging="360"/>
      </w:pPr>
      <w:rPr>
        <w:rFonts w:ascii="Symbol" w:hAnsi="Symbol" w:hint="default"/>
      </w:rPr>
    </w:lvl>
    <w:lvl w:ilvl="7" w:tplc="0C090003" w:tentative="1">
      <w:start w:val="1"/>
      <w:numFmt w:val="bullet"/>
      <w:lvlText w:val="o"/>
      <w:lvlJc w:val="left"/>
      <w:pPr>
        <w:ind w:left="7740" w:hanging="360"/>
      </w:pPr>
      <w:rPr>
        <w:rFonts w:ascii="Courier New" w:hAnsi="Courier New" w:cs="Courier New" w:hint="default"/>
      </w:rPr>
    </w:lvl>
    <w:lvl w:ilvl="8" w:tplc="0C090005" w:tentative="1">
      <w:start w:val="1"/>
      <w:numFmt w:val="bullet"/>
      <w:lvlText w:val=""/>
      <w:lvlJc w:val="left"/>
      <w:pPr>
        <w:ind w:left="8460" w:hanging="360"/>
      </w:pPr>
      <w:rPr>
        <w:rFonts w:ascii="Wingdings" w:hAnsi="Wingdings" w:hint="default"/>
      </w:rPr>
    </w:lvl>
  </w:abstractNum>
  <w:abstractNum w:abstractNumId="6" w15:restartNumberingAfterBreak="0">
    <w:nsid w:val="7D1024EF"/>
    <w:multiLevelType w:val="hybridMultilevel"/>
    <w:tmpl w:val="7952B476"/>
    <w:lvl w:ilvl="0" w:tplc="0C09000F">
      <w:start w:val="1"/>
      <w:numFmt w:val="decimal"/>
      <w:lvlText w:val="%1."/>
      <w:lvlJc w:val="left"/>
      <w:pPr>
        <w:ind w:left="3338" w:hanging="360"/>
      </w:pPr>
      <w:rPr>
        <w:rFonts w:hint="default"/>
      </w:rPr>
    </w:lvl>
    <w:lvl w:ilvl="1" w:tplc="0C090019">
      <w:start w:val="1"/>
      <w:numFmt w:val="lowerLetter"/>
      <w:lvlText w:val="%2."/>
      <w:lvlJc w:val="left"/>
      <w:pPr>
        <w:ind w:left="1440" w:hanging="360"/>
      </w:pPr>
    </w:lvl>
    <w:lvl w:ilvl="2" w:tplc="AA26E3A8">
      <w:numFmt w:val="bullet"/>
      <w:lvlText w:val="−"/>
      <w:lvlJc w:val="left"/>
      <w:pPr>
        <w:ind w:left="2340" w:hanging="360"/>
      </w:pPr>
      <w:rPr>
        <w:rFonts w:ascii="Calibri Light" w:eastAsiaTheme="minorHAnsi" w:hAnsi="Calibri Light" w:cs="Calibri Light"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6"/>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C63"/>
    <w:rsid w:val="00025329"/>
    <w:rsid w:val="000260BA"/>
    <w:rsid w:val="000300D5"/>
    <w:rsid w:val="00043C1B"/>
    <w:rsid w:val="000703A3"/>
    <w:rsid w:val="00071B09"/>
    <w:rsid w:val="00090CDC"/>
    <w:rsid w:val="00091A93"/>
    <w:rsid w:val="0009437D"/>
    <w:rsid w:val="000D295B"/>
    <w:rsid w:val="000D2C63"/>
    <w:rsid w:val="000E0FB5"/>
    <w:rsid w:val="000F4532"/>
    <w:rsid w:val="001119A1"/>
    <w:rsid w:val="00115F1C"/>
    <w:rsid w:val="001212C8"/>
    <w:rsid w:val="00127D98"/>
    <w:rsid w:val="00142434"/>
    <w:rsid w:val="0015128E"/>
    <w:rsid w:val="0015526D"/>
    <w:rsid w:val="0017406B"/>
    <w:rsid w:val="0018046E"/>
    <w:rsid w:val="001A2B8C"/>
    <w:rsid w:val="001A3064"/>
    <w:rsid w:val="001B531B"/>
    <w:rsid w:val="001B6F17"/>
    <w:rsid w:val="001F6B9B"/>
    <w:rsid w:val="00205CE8"/>
    <w:rsid w:val="00211151"/>
    <w:rsid w:val="00243408"/>
    <w:rsid w:val="0025275A"/>
    <w:rsid w:val="00262879"/>
    <w:rsid w:val="002B3AC2"/>
    <w:rsid w:val="002C3801"/>
    <w:rsid w:val="002C4B5D"/>
    <w:rsid w:val="002C7A86"/>
    <w:rsid w:val="002E1D0A"/>
    <w:rsid w:val="0030684A"/>
    <w:rsid w:val="00341383"/>
    <w:rsid w:val="003455DA"/>
    <w:rsid w:val="00347971"/>
    <w:rsid w:val="00367055"/>
    <w:rsid w:val="00371CBF"/>
    <w:rsid w:val="00394569"/>
    <w:rsid w:val="00396CBE"/>
    <w:rsid w:val="003A7889"/>
    <w:rsid w:val="003B20A9"/>
    <w:rsid w:val="003E1844"/>
    <w:rsid w:val="003E19C2"/>
    <w:rsid w:val="003E39CA"/>
    <w:rsid w:val="003E595F"/>
    <w:rsid w:val="0041396B"/>
    <w:rsid w:val="00424303"/>
    <w:rsid w:val="00424F8A"/>
    <w:rsid w:val="00442D33"/>
    <w:rsid w:val="004450C2"/>
    <w:rsid w:val="00445757"/>
    <w:rsid w:val="004833C7"/>
    <w:rsid w:val="00492538"/>
    <w:rsid w:val="004A5B22"/>
    <w:rsid w:val="004B35BE"/>
    <w:rsid w:val="004C157F"/>
    <w:rsid w:val="004C6D92"/>
    <w:rsid w:val="004D4636"/>
    <w:rsid w:val="004D740E"/>
    <w:rsid w:val="004F1F07"/>
    <w:rsid w:val="00511A5A"/>
    <w:rsid w:val="005247CC"/>
    <w:rsid w:val="00536524"/>
    <w:rsid w:val="00543CCD"/>
    <w:rsid w:val="00555D05"/>
    <w:rsid w:val="00591090"/>
    <w:rsid w:val="00595544"/>
    <w:rsid w:val="005B2BB9"/>
    <w:rsid w:val="005C5020"/>
    <w:rsid w:val="005C51B9"/>
    <w:rsid w:val="005C55A2"/>
    <w:rsid w:val="005F1766"/>
    <w:rsid w:val="006273D6"/>
    <w:rsid w:val="006309C9"/>
    <w:rsid w:val="00655A4B"/>
    <w:rsid w:val="00663866"/>
    <w:rsid w:val="006653E7"/>
    <w:rsid w:val="00687EAB"/>
    <w:rsid w:val="00695081"/>
    <w:rsid w:val="006968BB"/>
    <w:rsid w:val="006B2D5B"/>
    <w:rsid w:val="006B4AA8"/>
    <w:rsid w:val="006B7007"/>
    <w:rsid w:val="006E0C9F"/>
    <w:rsid w:val="006F1B4C"/>
    <w:rsid w:val="006F6FAD"/>
    <w:rsid w:val="006F7B3F"/>
    <w:rsid w:val="0072145B"/>
    <w:rsid w:val="007345EC"/>
    <w:rsid w:val="00743385"/>
    <w:rsid w:val="007437C7"/>
    <w:rsid w:val="00776754"/>
    <w:rsid w:val="007800EB"/>
    <w:rsid w:val="00780AF1"/>
    <w:rsid w:val="007A7711"/>
    <w:rsid w:val="007B6282"/>
    <w:rsid w:val="007D30A8"/>
    <w:rsid w:val="007D5E99"/>
    <w:rsid w:val="00806C66"/>
    <w:rsid w:val="008137D0"/>
    <w:rsid w:val="0083268D"/>
    <w:rsid w:val="00852D7B"/>
    <w:rsid w:val="00890F20"/>
    <w:rsid w:val="008C2ADD"/>
    <w:rsid w:val="008C3DB5"/>
    <w:rsid w:val="008C4918"/>
    <w:rsid w:val="008D0533"/>
    <w:rsid w:val="008D4507"/>
    <w:rsid w:val="008E0BE6"/>
    <w:rsid w:val="008E2024"/>
    <w:rsid w:val="008F0250"/>
    <w:rsid w:val="008F4F2C"/>
    <w:rsid w:val="009116E3"/>
    <w:rsid w:val="0092776E"/>
    <w:rsid w:val="00944914"/>
    <w:rsid w:val="0096701E"/>
    <w:rsid w:val="0097121B"/>
    <w:rsid w:val="009A01E6"/>
    <w:rsid w:val="009A2D7E"/>
    <w:rsid w:val="009A47F7"/>
    <w:rsid w:val="009A4FB1"/>
    <w:rsid w:val="009E48BD"/>
    <w:rsid w:val="009F4AE2"/>
    <w:rsid w:val="00A10AD0"/>
    <w:rsid w:val="00A118F7"/>
    <w:rsid w:val="00A217A1"/>
    <w:rsid w:val="00A374B1"/>
    <w:rsid w:val="00A511B6"/>
    <w:rsid w:val="00A57C0D"/>
    <w:rsid w:val="00A941D9"/>
    <w:rsid w:val="00AA4ECB"/>
    <w:rsid w:val="00AC1A2A"/>
    <w:rsid w:val="00AC6F2A"/>
    <w:rsid w:val="00AD15DE"/>
    <w:rsid w:val="00AD5B3B"/>
    <w:rsid w:val="00AD7F1D"/>
    <w:rsid w:val="00B00B6F"/>
    <w:rsid w:val="00B03D44"/>
    <w:rsid w:val="00B203EA"/>
    <w:rsid w:val="00B41171"/>
    <w:rsid w:val="00B51BE3"/>
    <w:rsid w:val="00B86DA1"/>
    <w:rsid w:val="00B955B1"/>
    <w:rsid w:val="00B97116"/>
    <w:rsid w:val="00BB19D2"/>
    <w:rsid w:val="00BB4EE0"/>
    <w:rsid w:val="00BE150A"/>
    <w:rsid w:val="00BE7F14"/>
    <w:rsid w:val="00BF70E4"/>
    <w:rsid w:val="00C02251"/>
    <w:rsid w:val="00C10920"/>
    <w:rsid w:val="00C1093A"/>
    <w:rsid w:val="00C23BCA"/>
    <w:rsid w:val="00C33076"/>
    <w:rsid w:val="00C53DC6"/>
    <w:rsid w:val="00C624F4"/>
    <w:rsid w:val="00C74FB9"/>
    <w:rsid w:val="00C7694E"/>
    <w:rsid w:val="00C84B7A"/>
    <w:rsid w:val="00CB1716"/>
    <w:rsid w:val="00CC5317"/>
    <w:rsid w:val="00CD02C9"/>
    <w:rsid w:val="00CD2D33"/>
    <w:rsid w:val="00CD336A"/>
    <w:rsid w:val="00CD6523"/>
    <w:rsid w:val="00CD79FD"/>
    <w:rsid w:val="00CE0D7E"/>
    <w:rsid w:val="00D400FB"/>
    <w:rsid w:val="00D41B6A"/>
    <w:rsid w:val="00D42000"/>
    <w:rsid w:val="00D91FFD"/>
    <w:rsid w:val="00DB0979"/>
    <w:rsid w:val="00DB46A1"/>
    <w:rsid w:val="00DD3F9B"/>
    <w:rsid w:val="00E07CE2"/>
    <w:rsid w:val="00E12504"/>
    <w:rsid w:val="00E26D34"/>
    <w:rsid w:val="00E4119E"/>
    <w:rsid w:val="00E42F57"/>
    <w:rsid w:val="00E50155"/>
    <w:rsid w:val="00E81E6A"/>
    <w:rsid w:val="00EA0412"/>
    <w:rsid w:val="00EA5E4D"/>
    <w:rsid w:val="00EE3099"/>
    <w:rsid w:val="00EE3EED"/>
    <w:rsid w:val="00EF43A8"/>
    <w:rsid w:val="00EF4636"/>
    <w:rsid w:val="00F04160"/>
    <w:rsid w:val="00F174D6"/>
    <w:rsid w:val="00F73528"/>
    <w:rsid w:val="00F76B9B"/>
    <w:rsid w:val="00F76D73"/>
    <w:rsid w:val="00F94D50"/>
    <w:rsid w:val="00FC6434"/>
    <w:rsid w:val="00FC699E"/>
    <w:rsid w:val="00FE47A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7757A5"/>
  <w15:docId w15:val="{50D9BCB8-3E48-43A4-87E0-EA350FB18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A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1A93"/>
    <w:pPr>
      <w:spacing w:after="0" w:line="240" w:lineRule="auto"/>
    </w:pPr>
  </w:style>
  <w:style w:type="paragraph" w:styleId="Footer">
    <w:name w:val="footer"/>
    <w:basedOn w:val="Normal"/>
    <w:link w:val="FooterChar"/>
    <w:uiPriority w:val="99"/>
    <w:unhideWhenUsed/>
    <w:rsid w:val="00FE4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47A4"/>
  </w:style>
  <w:style w:type="paragraph" w:customStyle="1" w:styleId="Default">
    <w:name w:val="Default"/>
    <w:rsid w:val="00FE47A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E47A4"/>
    <w:pPr>
      <w:ind w:left="720"/>
      <w:contextualSpacing/>
    </w:pPr>
  </w:style>
  <w:style w:type="paragraph" w:styleId="FootnoteText">
    <w:name w:val="footnote text"/>
    <w:basedOn w:val="Normal"/>
    <w:link w:val="FootnoteTextChar"/>
    <w:uiPriority w:val="99"/>
    <w:unhideWhenUsed/>
    <w:rsid w:val="00AC6F2A"/>
    <w:pPr>
      <w:spacing w:after="0" w:line="240" w:lineRule="auto"/>
    </w:pPr>
    <w:rPr>
      <w:sz w:val="20"/>
      <w:szCs w:val="20"/>
    </w:rPr>
  </w:style>
  <w:style w:type="character" w:customStyle="1" w:styleId="FootnoteTextChar">
    <w:name w:val="Footnote Text Char"/>
    <w:basedOn w:val="DefaultParagraphFont"/>
    <w:link w:val="FootnoteText"/>
    <w:uiPriority w:val="99"/>
    <w:rsid w:val="00AC6F2A"/>
    <w:rPr>
      <w:sz w:val="20"/>
      <w:szCs w:val="20"/>
    </w:rPr>
  </w:style>
  <w:style w:type="character" w:styleId="FootnoteReference">
    <w:name w:val="footnote reference"/>
    <w:basedOn w:val="DefaultParagraphFont"/>
    <w:uiPriority w:val="99"/>
    <w:unhideWhenUsed/>
    <w:rsid w:val="00AC6F2A"/>
    <w:rPr>
      <w:vertAlign w:val="superscript"/>
    </w:rPr>
  </w:style>
  <w:style w:type="character" w:styleId="Hyperlink">
    <w:name w:val="Hyperlink"/>
    <w:basedOn w:val="DefaultParagraphFont"/>
    <w:uiPriority w:val="99"/>
    <w:unhideWhenUsed/>
    <w:rsid w:val="0009437D"/>
    <w:rPr>
      <w:color w:val="F58220" w:themeColor="hyperlink"/>
      <w:u w:val="single"/>
    </w:rPr>
  </w:style>
  <w:style w:type="paragraph" w:styleId="Header">
    <w:name w:val="header"/>
    <w:basedOn w:val="Normal"/>
    <w:link w:val="HeaderChar"/>
    <w:uiPriority w:val="99"/>
    <w:unhideWhenUsed/>
    <w:rsid w:val="00B971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116"/>
  </w:style>
  <w:style w:type="paragraph" w:styleId="BalloonText">
    <w:name w:val="Balloon Text"/>
    <w:basedOn w:val="Normal"/>
    <w:link w:val="BalloonTextChar"/>
    <w:uiPriority w:val="99"/>
    <w:semiHidden/>
    <w:unhideWhenUsed/>
    <w:rsid w:val="00A217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7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7828">
      <w:bodyDiv w:val="1"/>
      <w:marLeft w:val="0"/>
      <w:marRight w:val="0"/>
      <w:marTop w:val="0"/>
      <w:marBottom w:val="0"/>
      <w:divBdr>
        <w:top w:val="none" w:sz="0" w:space="0" w:color="auto"/>
        <w:left w:val="none" w:sz="0" w:space="0" w:color="auto"/>
        <w:bottom w:val="none" w:sz="0" w:space="0" w:color="auto"/>
        <w:right w:val="none" w:sz="0" w:space="0" w:color="auto"/>
      </w:divBdr>
    </w:div>
    <w:div w:id="86660522">
      <w:bodyDiv w:val="1"/>
      <w:marLeft w:val="0"/>
      <w:marRight w:val="0"/>
      <w:marTop w:val="0"/>
      <w:marBottom w:val="0"/>
      <w:divBdr>
        <w:top w:val="none" w:sz="0" w:space="0" w:color="auto"/>
        <w:left w:val="none" w:sz="0" w:space="0" w:color="auto"/>
        <w:bottom w:val="none" w:sz="0" w:space="0" w:color="auto"/>
        <w:right w:val="none" w:sz="0" w:space="0" w:color="auto"/>
      </w:divBdr>
      <w:divsChild>
        <w:div w:id="1340156679">
          <w:marLeft w:val="0"/>
          <w:marRight w:val="0"/>
          <w:marTop w:val="0"/>
          <w:marBottom w:val="300"/>
          <w:divBdr>
            <w:top w:val="none" w:sz="0" w:space="0" w:color="auto"/>
            <w:left w:val="none" w:sz="0" w:space="0" w:color="auto"/>
            <w:bottom w:val="none" w:sz="0" w:space="0" w:color="auto"/>
            <w:right w:val="none" w:sz="0" w:space="0" w:color="auto"/>
          </w:divBdr>
          <w:divsChild>
            <w:div w:id="673338368">
              <w:marLeft w:val="0"/>
              <w:marRight w:val="0"/>
              <w:marTop w:val="0"/>
              <w:marBottom w:val="0"/>
              <w:divBdr>
                <w:top w:val="none" w:sz="0" w:space="0" w:color="auto"/>
                <w:left w:val="none" w:sz="0" w:space="0" w:color="auto"/>
                <w:bottom w:val="none" w:sz="0" w:space="0" w:color="auto"/>
                <w:right w:val="none" w:sz="0" w:space="0" w:color="auto"/>
              </w:divBdr>
            </w:div>
            <w:div w:id="592935780">
              <w:marLeft w:val="0"/>
              <w:marRight w:val="0"/>
              <w:marTop w:val="0"/>
              <w:marBottom w:val="0"/>
              <w:divBdr>
                <w:top w:val="none" w:sz="0" w:space="0" w:color="auto"/>
                <w:left w:val="none" w:sz="0" w:space="0" w:color="auto"/>
                <w:bottom w:val="none" w:sz="0" w:space="0" w:color="auto"/>
                <w:right w:val="none" w:sz="0" w:space="0" w:color="auto"/>
              </w:divBdr>
            </w:div>
            <w:div w:id="1610118951">
              <w:marLeft w:val="0"/>
              <w:marRight w:val="0"/>
              <w:marTop w:val="0"/>
              <w:marBottom w:val="0"/>
              <w:divBdr>
                <w:top w:val="none" w:sz="0" w:space="0" w:color="auto"/>
                <w:left w:val="none" w:sz="0" w:space="0" w:color="auto"/>
                <w:bottom w:val="none" w:sz="0" w:space="0" w:color="auto"/>
                <w:right w:val="none" w:sz="0" w:space="0" w:color="auto"/>
              </w:divBdr>
            </w:div>
          </w:divsChild>
        </w:div>
        <w:div w:id="756710542">
          <w:marLeft w:val="0"/>
          <w:marRight w:val="0"/>
          <w:marTop w:val="0"/>
          <w:marBottom w:val="75"/>
          <w:divBdr>
            <w:top w:val="none" w:sz="0" w:space="0" w:color="auto"/>
            <w:left w:val="none" w:sz="0" w:space="0" w:color="auto"/>
            <w:bottom w:val="none" w:sz="0" w:space="0" w:color="auto"/>
            <w:right w:val="none" w:sz="0" w:space="0" w:color="auto"/>
          </w:divBdr>
          <w:divsChild>
            <w:div w:id="15828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2134">
      <w:bodyDiv w:val="1"/>
      <w:marLeft w:val="0"/>
      <w:marRight w:val="0"/>
      <w:marTop w:val="0"/>
      <w:marBottom w:val="0"/>
      <w:divBdr>
        <w:top w:val="none" w:sz="0" w:space="0" w:color="auto"/>
        <w:left w:val="none" w:sz="0" w:space="0" w:color="auto"/>
        <w:bottom w:val="none" w:sz="0" w:space="0" w:color="auto"/>
        <w:right w:val="none" w:sz="0" w:space="0" w:color="auto"/>
      </w:divBdr>
    </w:div>
    <w:div w:id="139613735">
      <w:bodyDiv w:val="1"/>
      <w:marLeft w:val="0"/>
      <w:marRight w:val="0"/>
      <w:marTop w:val="0"/>
      <w:marBottom w:val="0"/>
      <w:divBdr>
        <w:top w:val="none" w:sz="0" w:space="0" w:color="auto"/>
        <w:left w:val="none" w:sz="0" w:space="0" w:color="auto"/>
        <w:bottom w:val="none" w:sz="0" w:space="0" w:color="auto"/>
        <w:right w:val="none" w:sz="0" w:space="0" w:color="auto"/>
      </w:divBdr>
    </w:div>
    <w:div w:id="219945123">
      <w:bodyDiv w:val="1"/>
      <w:marLeft w:val="0"/>
      <w:marRight w:val="0"/>
      <w:marTop w:val="0"/>
      <w:marBottom w:val="0"/>
      <w:divBdr>
        <w:top w:val="none" w:sz="0" w:space="0" w:color="auto"/>
        <w:left w:val="none" w:sz="0" w:space="0" w:color="auto"/>
        <w:bottom w:val="none" w:sz="0" w:space="0" w:color="auto"/>
        <w:right w:val="none" w:sz="0" w:space="0" w:color="auto"/>
      </w:divBdr>
    </w:div>
    <w:div w:id="255602791">
      <w:bodyDiv w:val="1"/>
      <w:marLeft w:val="0"/>
      <w:marRight w:val="0"/>
      <w:marTop w:val="0"/>
      <w:marBottom w:val="0"/>
      <w:divBdr>
        <w:top w:val="none" w:sz="0" w:space="0" w:color="auto"/>
        <w:left w:val="none" w:sz="0" w:space="0" w:color="auto"/>
        <w:bottom w:val="none" w:sz="0" w:space="0" w:color="auto"/>
        <w:right w:val="none" w:sz="0" w:space="0" w:color="auto"/>
      </w:divBdr>
      <w:divsChild>
        <w:div w:id="379862371">
          <w:marLeft w:val="0"/>
          <w:marRight w:val="0"/>
          <w:marTop w:val="0"/>
          <w:marBottom w:val="75"/>
          <w:divBdr>
            <w:top w:val="none" w:sz="0" w:space="0" w:color="auto"/>
            <w:left w:val="none" w:sz="0" w:space="0" w:color="auto"/>
            <w:bottom w:val="none" w:sz="0" w:space="0" w:color="auto"/>
            <w:right w:val="none" w:sz="0" w:space="0" w:color="auto"/>
          </w:divBdr>
          <w:divsChild>
            <w:div w:id="13541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2856">
      <w:bodyDiv w:val="1"/>
      <w:marLeft w:val="0"/>
      <w:marRight w:val="0"/>
      <w:marTop w:val="0"/>
      <w:marBottom w:val="0"/>
      <w:divBdr>
        <w:top w:val="none" w:sz="0" w:space="0" w:color="auto"/>
        <w:left w:val="none" w:sz="0" w:space="0" w:color="auto"/>
        <w:bottom w:val="none" w:sz="0" w:space="0" w:color="auto"/>
        <w:right w:val="none" w:sz="0" w:space="0" w:color="auto"/>
      </w:divBdr>
    </w:div>
    <w:div w:id="625895908">
      <w:bodyDiv w:val="1"/>
      <w:marLeft w:val="0"/>
      <w:marRight w:val="0"/>
      <w:marTop w:val="0"/>
      <w:marBottom w:val="0"/>
      <w:divBdr>
        <w:top w:val="none" w:sz="0" w:space="0" w:color="auto"/>
        <w:left w:val="none" w:sz="0" w:space="0" w:color="auto"/>
        <w:bottom w:val="none" w:sz="0" w:space="0" w:color="auto"/>
        <w:right w:val="none" w:sz="0" w:space="0" w:color="auto"/>
      </w:divBdr>
    </w:div>
    <w:div w:id="684215482">
      <w:bodyDiv w:val="1"/>
      <w:marLeft w:val="0"/>
      <w:marRight w:val="0"/>
      <w:marTop w:val="0"/>
      <w:marBottom w:val="0"/>
      <w:divBdr>
        <w:top w:val="none" w:sz="0" w:space="0" w:color="auto"/>
        <w:left w:val="none" w:sz="0" w:space="0" w:color="auto"/>
        <w:bottom w:val="none" w:sz="0" w:space="0" w:color="auto"/>
        <w:right w:val="none" w:sz="0" w:space="0" w:color="auto"/>
      </w:divBdr>
    </w:div>
    <w:div w:id="794450110">
      <w:bodyDiv w:val="1"/>
      <w:marLeft w:val="0"/>
      <w:marRight w:val="0"/>
      <w:marTop w:val="0"/>
      <w:marBottom w:val="0"/>
      <w:divBdr>
        <w:top w:val="none" w:sz="0" w:space="0" w:color="auto"/>
        <w:left w:val="none" w:sz="0" w:space="0" w:color="auto"/>
        <w:bottom w:val="none" w:sz="0" w:space="0" w:color="auto"/>
        <w:right w:val="none" w:sz="0" w:space="0" w:color="auto"/>
      </w:divBdr>
    </w:div>
    <w:div w:id="1216743536">
      <w:bodyDiv w:val="1"/>
      <w:marLeft w:val="0"/>
      <w:marRight w:val="0"/>
      <w:marTop w:val="0"/>
      <w:marBottom w:val="0"/>
      <w:divBdr>
        <w:top w:val="none" w:sz="0" w:space="0" w:color="auto"/>
        <w:left w:val="none" w:sz="0" w:space="0" w:color="auto"/>
        <w:bottom w:val="none" w:sz="0" w:space="0" w:color="auto"/>
        <w:right w:val="none" w:sz="0" w:space="0" w:color="auto"/>
      </w:divBdr>
    </w:div>
    <w:div w:id="1279609485">
      <w:bodyDiv w:val="1"/>
      <w:marLeft w:val="0"/>
      <w:marRight w:val="0"/>
      <w:marTop w:val="0"/>
      <w:marBottom w:val="0"/>
      <w:divBdr>
        <w:top w:val="none" w:sz="0" w:space="0" w:color="auto"/>
        <w:left w:val="none" w:sz="0" w:space="0" w:color="auto"/>
        <w:bottom w:val="none" w:sz="0" w:space="0" w:color="auto"/>
        <w:right w:val="none" w:sz="0" w:space="0" w:color="auto"/>
      </w:divBdr>
    </w:div>
    <w:div w:id="1280645182">
      <w:bodyDiv w:val="1"/>
      <w:marLeft w:val="0"/>
      <w:marRight w:val="0"/>
      <w:marTop w:val="0"/>
      <w:marBottom w:val="0"/>
      <w:divBdr>
        <w:top w:val="none" w:sz="0" w:space="0" w:color="auto"/>
        <w:left w:val="none" w:sz="0" w:space="0" w:color="auto"/>
        <w:bottom w:val="none" w:sz="0" w:space="0" w:color="auto"/>
        <w:right w:val="none" w:sz="0" w:space="0" w:color="auto"/>
      </w:divBdr>
    </w:div>
    <w:div w:id="1320690859">
      <w:bodyDiv w:val="1"/>
      <w:marLeft w:val="0"/>
      <w:marRight w:val="0"/>
      <w:marTop w:val="0"/>
      <w:marBottom w:val="0"/>
      <w:divBdr>
        <w:top w:val="none" w:sz="0" w:space="0" w:color="auto"/>
        <w:left w:val="none" w:sz="0" w:space="0" w:color="auto"/>
        <w:bottom w:val="none" w:sz="0" w:space="0" w:color="auto"/>
        <w:right w:val="none" w:sz="0" w:space="0" w:color="auto"/>
      </w:divBdr>
      <w:divsChild>
        <w:div w:id="2073889585">
          <w:marLeft w:val="0"/>
          <w:marRight w:val="0"/>
          <w:marTop w:val="0"/>
          <w:marBottom w:val="300"/>
          <w:divBdr>
            <w:top w:val="none" w:sz="0" w:space="0" w:color="auto"/>
            <w:left w:val="none" w:sz="0" w:space="0" w:color="auto"/>
            <w:bottom w:val="none" w:sz="0" w:space="0" w:color="auto"/>
            <w:right w:val="none" w:sz="0" w:space="0" w:color="auto"/>
          </w:divBdr>
        </w:div>
        <w:div w:id="1350835094">
          <w:marLeft w:val="0"/>
          <w:marRight w:val="0"/>
          <w:marTop w:val="0"/>
          <w:marBottom w:val="0"/>
          <w:divBdr>
            <w:top w:val="none" w:sz="0" w:space="0" w:color="auto"/>
            <w:left w:val="none" w:sz="0" w:space="0" w:color="auto"/>
            <w:bottom w:val="none" w:sz="0" w:space="0" w:color="auto"/>
            <w:right w:val="none" w:sz="0" w:space="0" w:color="auto"/>
          </w:divBdr>
        </w:div>
      </w:divsChild>
    </w:div>
    <w:div w:id="1341857723">
      <w:bodyDiv w:val="1"/>
      <w:marLeft w:val="0"/>
      <w:marRight w:val="0"/>
      <w:marTop w:val="0"/>
      <w:marBottom w:val="0"/>
      <w:divBdr>
        <w:top w:val="none" w:sz="0" w:space="0" w:color="auto"/>
        <w:left w:val="none" w:sz="0" w:space="0" w:color="auto"/>
        <w:bottom w:val="none" w:sz="0" w:space="0" w:color="auto"/>
        <w:right w:val="none" w:sz="0" w:space="0" w:color="auto"/>
      </w:divBdr>
    </w:div>
    <w:div w:id="1446927779">
      <w:bodyDiv w:val="1"/>
      <w:marLeft w:val="0"/>
      <w:marRight w:val="0"/>
      <w:marTop w:val="0"/>
      <w:marBottom w:val="0"/>
      <w:divBdr>
        <w:top w:val="none" w:sz="0" w:space="0" w:color="auto"/>
        <w:left w:val="none" w:sz="0" w:space="0" w:color="auto"/>
        <w:bottom w:val="none" w:sz="0" w:space="0" w:color="auto"/>
        <w:right w:val="none" w:sz="0" w:space="0" w:color="auto"/>
      </w:divBdr>
    </w:div>
    <w:div w:id="1757552953">
      <w:bodyDiv w:val="1"/>
      <w:marLeft w:val="0"/>
      <w:marRight w:val="0"/>
      <w:marTop w:val="0"/>
      <w:marBottom w:val="0"/>
      <w:divBdr>
        <w:top w:val="none" w:sz="0" w:space="0" w:color="auto"/>
        <w:left w:val="none" w:sz="0" w:space="0" w:color="auto"/>
        <w:bottom w:val="none" w:sz="0" w:space="0" w:color="auto"/>
        <w:right w:val="none" w:sz="0" w:space="0" w:color="auto"/>
      </w:divBdr>
    </w:div>
    <w:div w:id="1845589455">
      <w:bodyDiv w:val="1"/>
      <w:marLeft w:val="0"/>
      <w:marRight w:val="0"/>
      <w:marTop w:val="0"/>
      <w:marBottom w:val="0"/>
      <w:divBdr>
        <w:top w:val="none" w:sz="0" w:space="0" w:color="auto"/>
        <w:left w:val="none" w:sz="0" w:space="0" w:color="auto"/>
        <w:bottom w:val="none" w:sz="0" w:space="0" w:color="auto"/>
        <w:right w:val="none" w:sz="0" w:space="0" w:color="auto"/>
      </w:divBdr>
    </w:div>
    <w:div w:id="1848861181">
      <w:bodyDiv w:val="1"/>
      <w:marLeft w:val="0"/>
      <w:marRight w:val="0"/>
      <w:marTop w:val="0"/>
      <w:marBottom w:val="0"/>
      <w:divBdr>
        <w:top w:val="none" w:sz="0" w:space="0" w:color="auto"/>
        <w:left w:val="none" w:sz="0" w:space="0" w:color="auto"/>
        <w:bottom w:val="none" w:sz="0" w:space="0" w:color="auto"/>
        <w:right w:val="none" w:sz="0" w:space="0" w:color="auto"/>
      </w:divBdr>
    </w:div>
    <w:div w:id="1964657336">
      <w:bodyDiv w:val="1"/>
      <w:marLeft w:val="0"/>
      <w:marRight w:val="0"/>
      <w:marTop w:val="0"/>
      <w:marBottom w:val="0"/>
      <w:divBdr>
        <w:top w:val="none" w:sz="0" w:space="0" w:color="auto"/>
        <w:left w:val="none" w:sz="0" w:space="0" w:color="auto"/>
        <w:bottom w:val="none" w:sz="0" w:space="0" w:color="auto"/>
        <w:right w:val="none" w:sz="0" w:space="0" w:color="auto"/>
      </w:divBdr>
    </w:div>
    <w:div w:id="202127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rmit.edu.au/content/dam/rmit/documents/college-of-business/graduate-school-of-business-and-law/Gambling-Harm-Report.pdf" TargetMode="External"/><Relationship Id="rId2" Type="http://schemas.openxmlformats.org/officeDocument/2006/relationships/hyperlink" Target="http://www.greaterdandenong.com/document/18464/statistical-data-for-victorian-communities" TargetMode="External"/><Relationship Id="rId1" Type="http://schemas.openxmlformats.org/officeDocument/2006/relationships/hyperlink" Target="https://aifs.gov.au/media-releases/tale-two-suburbs-gambling-suburban-australia" TargetMode="External"/></Relationships>
</file>

<file path=word/theme/theme1.xml><?xml version="1.0" encoding="utf-8"?>
<a:theme xmlns:a="http://schemas.openxmlformats.org/drawingml/2006/main" name="Office Theme">
  <a:themeElements>
    <a:clrScheme name="SMLS">
      <a:dk1>
        <a:sysClr val="windowText" lastClr="000000"/>
      </a:dk1>
      <a:lt1>
        <a:srgbClr val="000000"/>
      </a:lt1>
      <a:dk2>
        <a:srgbClr val="FFFFFF"/>
      </a:dk2>
      <a:lt2>
        <a:srgbClr val="FFFFFF"/>
      </a:lt2>
      <a:accent1>
        <a:srgbClr val="D7182A"/>
      </a:accent1>
      <a:accent2>
        <a:srgbClr val="92111D"/>
      </a:accent2>
      <a:accent3>
        <a:srgbClr val="F58220"/>
      </a:accent3>
      <a:accent4>
        <a:srgbClr val="B1A58E"/>
      </a:accent4>
      <a:accent5>
        <a:srgbClr val="D7182A"/>
      </a:accent5>
      <a:accent6>
        <a:srgbClr val="92111D"/>
      </a:accent6>
      <a:hlink>
        <a:srgbClr val="F58220"/>
      </a:hlink>
      <a:folHlink>
        <a:srgbClr val="B1A58E"/>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1538D-EF28-4E70-80F1-5ED5750A6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9</Pages>
  <Words>2497</Words>
  <Characters>14234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Newnham</dc:creator>
  <cp:keywords/>
  <dc:description/>
  <cp:lastModifiedBy>Ashleigh Newnham</cp:lastModifiedBy>
  <cp:revision>44</cp:revision>
  <cp:lastPrinted>2018-08-30T02:17:00Z</cp:lastPrinted>
  <dcterms:created xsi:type="dcterms:W3CDTF">2018-07-11T06:02:00Z</dcterms:created>
  <dcterms:modified xsi:type="dcterms:W3CDTF">2018-08-30T03:10:00Z</dcterms:modified>
</cp:coreProperties>
</file>